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4"/>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苏州市</w:t>
      </w:r>
      <w:r>
        <w:rPr>
          <w:rStyle w:val="949"/>
          <w:rFonts w:hint="eastAsia" w:ascii="宋体" w:hAnsi="宋体" w:cs="宋体"/>
          <w:sz w:val="72"/>
          <w:szCs w:val="72"/>
        </w:rPr>
        <w:t xml:space="preserve">吴江区</w:t>
      </w:r>
      <w:r>
        <w:rPr>
          <w:rStyle w:val="949"/>
          <w:rFonts w:hint="eastAsia" w:ascii="宋体" w:hAnsi="宋体" w:cs="宋体"/>
          <w:sz w:val="72"/>
          <w:szCs w:val="72"/>
          <w:lang w:val="zh-CN"/>
        </w:rPr>
        <w:t xml:space="preserve">政府采购</w:t>
      </w:r>
      <w:r/>
    </w:p>
    <w:p>
      <w:pPr>
        <w:pStyle w:val="944"/>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货物类公开招标项目</w:t>
      </w:r>
      <w:r/>
    </w:p>
    <w:p>
      <w:pPr>
        <w:pStyle w:val="944"/>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招标文件</w:t>
      </w:r>
      <w:r/>
    </w:p>
    <w:p>
      <w:pPr>
        <w:pStyle w:val="944"/>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4"/>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4"/>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4"/>
        <w:ind w:left="2766" w:hanging="1506"/>
        <w:spacing w:beforeAutospacing="0" w:afterAutospacing="0" w:line="360" w:lineRule="auto"/>
        <w:widowControl/>
        <w:rPr>
          <w:rStyle w:val="949"/>
          <w:rFonts w:ascii="宋体" w:hAnsi="宋体" w:cs="宋体"/>
          <w:sz w:val="30"/>
          <w:szCs w:val="30"/>
        </w:rPr>
      </w:pPr>
      <w:r>
        <w:rPr>
          <w:rStyle w:val="949"/>
          <w:rFonts w:hint="eastAsia" w:ascii="宋体" w:hAnsi="宋体" w:cs="宋体"/>
          <w:sz w:val="30"/>
          <w:szCs w:val="30"/>
        </w:rPr>
        <w:t xml:space="preserve">采购编号：</w:t>
      </w:r>
      <w:r>
        <w:rPr>
          <w:rFonts w:hint="eastAsia" w:ascii="宋体" w:hAnsi="宋体" w:cs="宋体"/>
          <w:sz w:val="30"/>
          <w:szCs w:val="30"/>
          <w:lang w:val="zh-CN"/>
        </w:rPr>
        <w:t xml:space="preserve">JSZC-320509-CJZB-G2026-0061</w:t>
      </w:r>
      <w:r/>
    </w:p>
    <w:p>
      <w:pPr>
        <w:pStyle w:val="944"/>
        <w:ind w:left="2766" w:hanging="1506"/>
        <w:spacing w:beforeAutospacing="0" w:afterAutospacing="0" w:line="360" w:lineRule="auto"/>
        <w:widowControl/>
        <w:rPr>
          <w:rStyle w:val="949"/>
          <w:rFonts w:ascii="宋体" w:hAnsi="宋体" w:cs="宋体"/>
          <w:sz w:val="30"/>
          <w:szCs w:val="30"/>
        </w:rPr>
      </w:pPr>
      <w:r>
        <w:rPr>
          <w:rStyle w:val="949"/>
          <w:rFonts w:hint="eastAsia" w:ascii="宋体" w:hAnsi="宋体" w:cs="宋体"/>
          <w:sz w:val="30"/>
          <w:szCs w:val="30"/>
        </w:rPr>
        <w:t xml:space="preserve">项目名称：</w:t>
      </w:r>
      <w:r>
        <w:rPr>
          <w:rFonts w:hint="eastAsia" w:ascii="宋体" w:hAnsi="宋体" w:cs="宋体"/>
          <w:sz w:val="30"/>
          <w:szCs w:val="30"/>
          <w:lang w:val="zh-CN"/>
        </w:rPr>
        <w:t xml:space="preserve">数据灾备系统</w:t>
      </w:r>
      <w:r/>
    </w:p>
    <w:p>
      <w:pPr>
        <w:pStyle w:val="944"/>
        <w:ind w:left="276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采 购 人：</w:t>
      </w:r>
      <w:r>
        <w:rPr>
          <w:rFonts w:hint="eastAsia" w:ascii="宋体" w:hAnsi="宋体" w:cs="宋体"/>
          <w:sz w:val="30"/>
          <w:szCs w:val="30"/>
          <w:lang w:val="zh-CN"/>
        </w:rPr>
        <w:t xml:space="preserve">江苏盛泽医院</w:t>
      </w:r>
      <w:r/>
    </w:p>
    <w:p>
      <w:pPr>
        <w:pStyle w:val="944"/>
        <w:ind w:left="276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4"/>
        <w:ind w:firstLine="482"/>
        <w:jc w:val="center"/>
        <w:spacing w:beforeAutospacing="0" w:afterAutospacing="0" w:line="360" w:lineRule="auto"/>
        <w:widowControl/>
        <w:rPr>
          <w:rFonts w:ascii="宋体" w:hAnsi="宋体" w:cs="宋体"/>
        </w:rPr>
      </w:pPr>
      <w:r>
        <w:rPr>
          <w:rFonts w:ascii="宋体" w:hAnsi="宋体" w:cs="宋体"/>
        </w:rPr>
      </w:r>
      <w:r/>
    </w:p>
    <w:p>
      <w:pPr>
        <w:pStyle w:val="944"/>
        <w:ind w:firstLine="482"/>
        <w:jc w:val="center"/>
        <w:spacing w:beforeAutospacing="0" w:afterAutospacing="0" w:line="360" w:lineRule="auto"/>
        <w:widowControl/>
        <w:rPr>
          <w:rFonts w:ascii="宋体" w:hAnsi="宋体" w:cs="宋体"/>
        </w:rPr>
      </w:pPr>
      <w:r>
        <w:rPr>
          <w:rFonts w:ascii="宋体" w:hAnsi="宋体" w:cs="宋体"/>
        </w:rPr>
      </w:r>
      <w:r/>
    </w:p>
    <w:p>
      <w:pPr>
        <w:pStyle w:val="944"/>
        <w:ind w:firstLine="482"/>
        <w:jc w:val="center"/>
        <w:spacing w:beforeAutospacing="0" w:afterAutospacing="0" w:line="360" w:lineRule="auto"/>
        <w:widowControl/>
        <w:rPr>
          <w:rFonts w:ascii="宋体" w:hAnsi="宋体" w:cs="宋体"/>
        </w:rPr>
      </w:pPr>
      <w:r>
        <w:rPr>
          <w:rFonts w:ascii="宋体" w:hAnsi="宋体" w:cs="宋体"/>
        </w:rPr>
      </w:r>
      <w:r/>
    </w:p>
    <w:p>
      <w:pPr>
        <w:pStyle w:val="944"/>
        <w:ind w:firstLine="602"/>
        <w:jc w:val="center"/>
        <w:spacing w:beforeAutospacing="0" w:afterAutospacing="0" w:line="360" w:lineRule="auto"/>
        <w:widowControl/>
        <w:rPr>
          <w:rStyle w:val="94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二○二六年六月</w:t>
      </w:r>
      <w:bookmarkEnd w:id="1"/>
      <w:r/>
      <w:r/>
    </w:p>
    <w:p>
      <w:pPr>
        <w:pStyle w:val="938"/>
        <w:ind w:firstLine="640"/>
        <w:jc w:val="center"/>
        <w:pageBreakBefore/>
        <w:spacing w:line="360" w:lineRule="auto"/>
        <w:tabs>
          <w:tab w:val="right" w:pos="8302" w:leader="dot"/>
        </w:tabs>
        <w:rPr>
          <w:rStyle w:val="949"/>
          <w:rFonts w:ascii="宋体" w:hAnsi="宋体" w:cs="宋体"/>
          <w:bCs/>
          <w:sz w:val="32"/>
          <w:szCs w:val="32"/>
        </w:rPr>
      </w:pPr>
      <w:r>
        <w:rPr>
          <w:rStyle w:val="949"/>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JSZC-320509-CJZB-G2026-0061号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数据灾备系统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2"/>
              <w:spacing w:line="360" w:lineRule="auto"/>
              <w:rPr>
                <w:rStyle w:val="993"/>
                <w:rFonts w:ascii="宋体" w:hAnsi="宋体" w:cs="宋体"/>
                <w:bCs w:val="0"/>
                <w:spacing w:val="0"/>
                <w:sz w:val="21"/>
                <w:szCs w:val="21"/>
              </w:rPr>
            </w:pPr>
            <w:r>
              <w:rPr>
                <w:rStyle w:val="993"/>
                <w:rFonts w:ascii="Wingdings" w:hAnsi="Wingdings" w:eastAsia="Wingdings" w:cs="Wingdings"/>
                <w:bCs w:val="0"/>
                <w:spacing w:val="0"/>
                <w:sz w:val="21"/>
                <w:szCs w:val="21"/>
              </w:rPr>
              <w:t xml:space="preserve">þ</w:t>
            </w:r>
            <w:r>
              <w:rPr>
                <w:rStyle w:val="993"/>
                <w:rFonts w:hint="eastAsia" w:ascii="宋体" w:hAnsi="宋体" w:cs="宋体"/>
                <w:bCs w:val="0"/>
                <w:spacing w:val="0"/>
                <w:sz w:val="21"/>
                <w:szCs w:val="21"/>
              </w:rPr>
              <w:t xml:space="preserve">不需提交，招标文件中有关投标保证金的规定均不适用。</w:t>
            </w:r>
            <w:r/>
          </w:p>
          <w:p>
            <w:pPr>
              <w:pStyle w:val="932"/>
              <w:spacing w:line="360" w:lineRule="auto"/>
              <w:rPr>
                <w:rFonts w:ascii="宋体" w:hAnsi="宋体" w:cs="宋体"/>
                <w:sz w:val="18"/>
                <w:szCs w:val="18"/>
              </w:rPr>
            </w:pPr>
            <w:r>
              <w:rPr>
                <w:rStyle w:val="99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28"/>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w:t>
            </w:r>
            <w:bookmarkStart w:id="2" w:name="OLE_LINK3"/>
            <w:r/>
            <w:bookmarkStart w:id="3" w:name="OLE_LINK4"/>
            <w:r>
              <w:rPr>
                <w:rFonts w:hint="eastAsia" w:ascii="宋体" w:hAnsi="宋体" w:cs="宋体"/>
                <w:szCs w:val="21"/>
                <w:lang w:val="zh-CN"/>
              </w:rPr>
              <w:t xml:space="preserve">0512-65238816</w:t>
            </w:r>
            <w:bookmarkEnd w:id="2"/>
            <w:r/>
            <w:bookmarkEnd w:id="3"/>
            <w:r>
              <w:rPr>
                <w:rFonts w:hint="eastAsia" w:ascii="宋体" w:hAnsi="宋体" w:cs="宋体"/>
                <w:szCs w:val="21"/>
                <w:lang w:val="zh-CN"/>
              </w:rPr>
              <w:t xml:space="preserve">  65238892   </w:t>
            </w:r>
            <w:r/>
          </w:p>
          <w:p>
            <w:pPr>
              <w:jc w:val="left"/>
              <w:spacing w:line="360" w:lineRule="auto"/>
              <w:rPr>
                <w:rFonts w:ascii="宋体" w:hAnsi="宋体" w:cs="宋体"/>
              </w:rPr>
            </w:pPr>
            <w:r>
              <w:rPr>
                <w:rFonts w:hint="eastAsia" w:ascii="宋体" w:hAnsi="宋体" w:cs="宋体"/>
                <w:szCs w:val="21"/>
                <w:lang w:val="zh-CN"/>
              </w:rPr>
              <w:t xml:space="preserve">联系人：</w:t>
            </w:r>
            <w:bookmarkStart w:id="4" w:name="OLE_LINK1"/>
            <w:r/>
            <w:bookmarkStart w:id="5" w:name="OLE_LINK2"/>
            <w:r>
              <w:rPr>
                <w:rFonts w:hint="eastAsia" w:ascii="宋体" w:hAnsi="宋体" w:cs="宋体"/>
                <w:szCs w:val="21"/>
                <w:lang w:val="zh-CN"/>
              </w:rPr>
              <w:t xml:space="preserve">路丽丽</w:t>
            </w:r>
            <w:bookmarkEnd w:id="4"/>
            <w:r/>
            <w:bookmarkEnd w:id="5"/>
            <w:r>
              <w:rPr>
                <w:rFonts w:hint="eastAsia" w:ascii="宋体" w:hAnsi="宋体" w:cs="宋体"/>
                <w:szCs w:val="21"/>
                <w:lang w:val="zh-CN"/>
              </w:rPr>
              <w:t xml:space="preserve">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江苏盛泽医院</w:t>
            </w:r>
            <w:r/>
          </w:p>
          <w:p>
            <w:pPr>
              <w:jc w:val="left"/>
              <w:spacing w:line="360" w:lineRule="auto"/>
              <w:rPr>
                <w:rFonts w:ascii="宋体" w:hAnsi="宋体" w:cs="宋体"/>
                <w:szCs w:val="21"/>
              </w:rPr>
            </w:pPr>
            <w:r>
              <w:rPr>
                <w:rFonts w:hint="eastAsia" w:ascii="宋体" w:hAnsi="宋体" w:cs="宋体"/>
                <w:szCs w:val="21"/>
              </w:rPr>
              <w:t xml:space="preserve">地址：苏州市吴江区盛泽镇市场西路1399号</w:t>
            </w:r>
            <w:r/>
          </w:p>
          <w:p>
            <w:pPr>
              <w:jc w:val="left"/>
              <w:spacing w:line="360" w:lineRule="auto"/>
              <w:rPr>
                <w:rFonts w:ascii="宋体" w:hAnsi="宋体" w:cs="宋体"/>
                <w:szCs w:val="21"/>
              </w:rPr>
            </w:pPr>
            <w:r>
              <w:rPr>
                <w:rFonts w:hint="eastAsia" w:ascii="宋体" w:hAnsi="宋体" w:cs="宋体"/>
                <w:szCs w:val="21"/>
              </w:rPr>
              <w:t xml:space="preserve">联系人：李腾云</w:t>
            </w:r>
            <w:r/>
          </w:p>
          <w:p>
            <w:pPr>
              <w:jc w:val="left"/>
              <w:spacing w:line="360" w:lineRule="auto"/>
              <w:rPr>
                <w:rFonts w:ascii="宋体" w:hAnsi="宋体" w:cs="宋体"/>
                <w:szCs w:val="21"/>
                <w:lang w:val="zh-CN"/>
              </w:rPr>
            </w:pPr>
            <w:r>
              <w:rPr>
                <w:rFonts w:hint="eastAsia" w:ascii="宋体" w:hAnsi="宋体" w:cs="宋体"/>
                <w:szCs w:val="21"/>
              </w:rPr>
              <w:t xml:space="preserve">电　话：0512-63097078</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2026年7月8日13：30（北京时间）</w:t>
            </w:r>
            <w:r/>
          </w:p>
          <w:p>
            <w:pPr>
              <w:pStyle w:val="92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2026年7月8日13：30（北京时间）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bookmarkStart w:id="6" w:name="_GoBack"/>
            <w:r>
              <w:rPr>
                <w:rFonts w:hint="eastAsia" w:ascii="宋体" w:hAnsi="宋体" w:cs="宋体"/>
                <w:szCs w:val="21"/>
              </w:rPr>
              <w:t xml:space="preserve">2026年7月8日13：30（北京时间）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 </w:t>
            </w:r>
            <w:bookmarkEnd w:id="6"/>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按合同要求</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9"/>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59"/>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本项目在编制预算时已综合考虑采购代理服务费，由中标单位在领取中标通知书时付清。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为人民币壹万陆仟壹佰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4"/>
        <w:ind w:firstLine="482"/>
        <w:spacing w:beforeAutospacing="0" w:afterAutospacing="0" w:line="360" w:lineRule="auto"/>
        <w:widowControl/>
        <w:rPr>
          <w:rFonts w:ascii="宋体" w:hAnsi="宋体" w:cs="宋体"/>
        </w:rPr>
      </w:pPr>
      <w:r>
        <w:rPr>
          <w:rFonts w:ascii="宋体" w:hAnsi="宋体" w:cs="宋体"/>
        </w:rPr>
      </w:r>
      <w:r/>
    </w:p>
    <w:p>
      <w:pPr>
        <w:pStyle w:val="944"/>
        <w:ind w:firstLine="482"/>
        <w:spacing w:beforeAutospacing="0" w:afterAutospacing="0" w:line="360" w:lineRule="auto"/>
        <w:widowControl/>
        <w:rPr>
          <w:rFonts w:ascii="宋体" w:hAnsi="宋体" w:cs="宋体"/>
        </w:rPr>
      </w:pPr>
      <w:r>
        <w:rPr>
          <w:rFonts w:ascii="宋体" w:hAnsi="宋体" w:cs="宋体"/>
        </w:rPr>
      </w:r>
      <w:r/>
    </w:p>
    <w:p>
      <w:pPr>
        <w:pStyle w:val="944"/>
        <w:ind w:firstLine="482"/>
        <w:spacing w:beforeAutospacing="0" w:afterAutospacing="0" w:line="360" w:lineRule="auto"/>
        <w:widowControl/>
        <w:rPr>
          <w:rFonts w:ascii="宋体" w:hAnsi="宋体" w:cs="宋体"/>
        </w:rPr>
      </w:pPr>
      <w:r>
        <w:rPr>
          <w:rFonts w:ascii="宋体" w:hAnsi="宋体" w:cs="宋体"/>
        </w:rPr>
      </w:r>
      <w:r/>
    </w:p>
    <w:p>
      <w:pPr>
        <w:pStyle w:val="944"/>
        <w:ind w:firstLine="482"/>
        <w:spacing w:beforeAutospacing="0" w:afterAutospacing="0" w:line="360" w:lineRule="auto"/>
        <w:widowControl/>
        <w:rPr>
          <w:rFonts w:ascii="宋体" w:hAnsi="宋体" w:cs="宋体"/>
        </w:rPr>
      </w:pPr>
      <w:r>
        <w:rPr>
          <w:rFonts w:ascii="宋体" w:hAnsi="宋体" w:cs="宋体"/>
        </w:rPr>
      </w:r>
      <w:r/>
    </w:p>
    <w:p>
      <w:pPr>
        <w:pStyle w:val="944"/>
        <w:ind w:firstLine="482"/>
        <w:spacing w:beforeAutospacing="0" w:afterAutospacing="0" w:line="360" w:lineRule="auto"/>
        <w:widowControl/>
        <w:rPr>
          <w:rFonts w:ascii="宋体" w:hAnsi="宋体" w:cs="宋体"/>
        </w:rPr>
      </w:pPr>
      <w:r>
        <w:rPr>
          <w:rFonts w:ascii="宋体" w:hAnsi="宋体" w:cs="宋体"/>
        </w:rPr>
      </w:r>
      <w:r/>
    </w:p>
    <w:p>
      <w:pPr>
        <w:pStyle w:val="94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3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3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3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3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3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38"/>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38"/>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7"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数据灾备系统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2026年7月8日13点30分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8" w:name="_Toc35393621"/>
      <w:r/>
      <w:bookmarkStart w:id="9" w:name="_Toc35393790"/>
      <w:r/>
      <w:bookmarkStart w:id="10" w:name="_Toc28359002"/>
      <w:r/>
      <w:bookmarkStart w:id="11" w:name="_Toc28359079"/>
      <w:r/>
      <w:bookmarkStart w:id="12" w:name="_Hlk24379207"/>
      <w:r>
        <w:rPr>
          <w:rFonts w:hint="eastAsia" w:ascii="宋体" w:hAnsi="宋体" w:cs="宋体"/>
          <w:b/>
          <w:szCs w:val="21"/>
        </w:rPr>
        <w:t xml:space="preserve">一、项目基本情况</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1.项目编号：JSZC-320509-CJZB-G2026-0061</w:t>
      </w:r>
      <w:r/>
    </w:p>
    <w:p>
      <w:pPr>
        <w:ind w:firstLine="420"/>
        <w:spacing w:line="360" w:lineRule="auto"/>
        <w:rPr>
          <w:rFonts w:ascii="宋体" w:hAnsi="宋体" w:cs="宋体"/>
          <w:szCs w:val="21"/>
        </w:rPr>
      </w:pPr>
      <w:r>
        <w:rPr>
          <w:rFonts w:hint="eastAsia" w:ascii="宋体" w:hAnsi="宋体" w:cs="宋体"/>
          <w:szCs w:val="21"/>
        </w:rPr>
        <w:t xml:space="preserve">2.项目名称：数据灾备系统</w:t>
      </w:r>
      <w:bookmarkEnd w:id="12"/>
      <w:r/>
      <w:r/>
    </w:p>
    <w:p>
      <w:pPr>
        <w:ind w:firstLine="420"/>
        <w:spacing w:line="360" w:lineRule="auto"/>
        <w:rPr>
          <w:rFonts w:ascii="宋体" w:hAnsi="宋体" w:cs="宋体"/>
          <w:szCs w:val="21"/>
        </w:rPr>
      </w:pPr>
      <w:r>
        <w:rPr>
          <w:rFonts w:hint="eastAsia" w:ascii="宋体" w:hAnsi="宋体" w:cs="宋体"/>
          <w:szCs w:val="21"/>
        </w:rPr>
        <w:t xml:space="preserve">3.预算金额：人民币壹佰壹拾万元整（¥：1100000.00）</w:t>
      </w:r>
      <w:r/>
    </w:p>
    <w:p>
      <w:pPr>
        <w:ind w:firstLine="420"/>
        <w:spacing w:line="360" w:lineRule="auto"/>
        <w:rPr>
          <w:rFonts w:ascii="宋体" w:hAnsi="宋体" w:cs="宋体"/>
          <w:szCs w:val="21"/>
        </w:rPr>
      </w:pPr>
      <w:r>
        <w:rPr>
          <w:rFonts w:hint="eastAsia" w:ascii="宋体" w:hAnsi="宋体" w:cs="宋体"/>
          <w:szCs w:val="21"/>
        </w:rPr>
        <w:t xml:space="preserve">4.最高限价：人民币壹佰壹拾万元整（¥：1100000.00）</w:t>
      </w:r>
      <w:r/>
    </w:p>
    <w:p>
      <w:pPr>
        <w:ind w:firstLine="420"/>
        <w:spacing w:line="360" w:lineRule="auto"/>
        <w:rPr>
          <w:rFonts w:ascii="宋体" w:hAnsi="宋体" w:cs="宋体"/>
          <w:szCs w:val="21"/>
        </w:rPr>
      </w:pPr>
      <w:r>
        <w:rPr>
          <w:rFonts w:hint="eastAsia" w:ascii="宋体" w:hAnsi="宋体" w:cs="宋体"/>
          <w:szCs w:val="21"/>
        </w:rPr>
        <w:t xml:space="preserve">5.采购需求：</w:t>
      </w:r>
      <w:r/>
    </w:p>
    <w:tbl>
      <w:tblPr>
        <w:tblW w:w="8525" w:type="dxa"/>
        <w:tblInd w:w="581" w:type="dxa"/>
        <w:tblLayout w:type="fixed"/>
        <w:tblLook w:val="04A0" w:firstRow="1" w:lastRow="0" w:firstColumn="1" w:lastColumn="0" w:noHBand="0" w:noVBand="1"/>
      </w:tblPr>
      <w:tblGrid>
        <w:gridCol w:w="1144"/>
        <w:gridCol w:w="3594"/>
        <w:gridCol w:w="1227"/>
        <w:gridCol w:w="2560"/>
      </w:tblGrid>
      <w:tr>
        <w:trPr>
          <w:trHeight w:val="499"/>
        </w:trPr>
        <w:tc>
          <w:tcPr>
            <w:tcBorders>
              <w:top w:val="single" w:color="auto" w:sz="8" w:space="0"/>
              <w:left w:val="single" w:color="auto" w:sz="8" w:space="0"/>
              <w:bottom w:val="single" w:color="auto" w:sz="8" w:space="0"/>
              <w:right w:val="single" w:color="auto" w:sz="8" w:space="0"/>
            </w:tcBorders>
            <w:tcW w:w="114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8" w:space="0"/>
              <w:left w:val="none" w:color="000000" w:sz="4" w:space="0"/>
              <w:bottom w:val="single" w:color="auto" w:sz="8" w:space="0"/>
              <w:right w:val="single" w:color="auto" w:sz="8" w:space="0"/>
            </w:tcBorders>
            <w:tcW w:w="3594"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设备名称</w:t>
            </w:r>
            <w:r/>
          </w:p>
        </w:tc>
        <w:tc>
          <w:tcPr>
            <w:tcBorders>
              <w:top w:val="single" w:color="auto" w:sz="8" w:space="0"/>
              <w:left w:val="none" w:color="000000" w:sz="4" w:space="0"/>
              <w:bottom w:val="single" w:color="auto" w:sz="8" w:space="0"/>
              <w:right w:val="single" w:color="auto" w:sz="8" w:space="0"/>
            </w:tcBorders>
            <w:tcW w:w="12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single" w:color="auto" w:sz="4" w:space="0"/>
              <w:bottom w:val="single" w:color="auto" w:sz="8" w:space="0"/>
              <w:right w:val="single" w:color="auto" w:sz="4" w:space="0"/>
            </w:tcBorders>
            <w:tcW w:w="2560"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509"/>
        </w:trPr>
        <w:tc>
          <w:tcPr>
            <w:tcBorders>
              <w:top w:val="single" w:color="auto" w:sz="8" w:space="0"/>
              <w:left w:val="single" w:color="auto" w:sz="8" w:space="0"/>
              <w:bottom w:val="single" w:color="auto" w:sz="4" w:space="0"/>
              <w:right w:val="single" w:color="auto" w:sz="8" w:space="0"/>
            </w:tcBorders>
            <w:tcW w:w="114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none" w:color="000000" w:sz="4" w:space="0"/>
              <w:bottom w:val="single" w:color="auto" w:sz="4" w:space="0"/>
              <w:right w:val="single" w:color="auto" w:sz="8" w:space="0"/>
            </w:tcBorders>
            <w:tcW w:w="3594" w:type="dxa"/>
            <w:vAlign w:val="bottom"/>
            <w:textDirection w:val="lrTb"/>
            <w:noWrap/>
          </w:tcPr>
          <w:p>
            <w:pPr>
              <w:jc w:val="left"/>
              <w:widowControl/>
              <w:rPr>
                <w:rFonts w:ascii="宋体" w:hAnsi="宋体" w:cs="宋体"/>
                <w:szCs w:val="21"/>
              </w:rPr>
            </w:pPr>
            <w:r>
              <w:rPr>
                <w:rFonts w:hint="eastAsia" w:ascii="宋体" w:hAnsi="宋体" w:cs="宋体"/>
                <w:szCs w:val="21"/>
              </w:rPr>
              <w:t xml:space="preserve">数据灾备系统</w:t>
            </w:r>
            <w:r/>
          </w:p>
        </w:tc>
        <w:tc>
          <w:tcPr>
            <w:tcBorders>
              <w:top w:val="single" w:color="auto" w:sz="8" w:space="0"/>
              <w:left w:val="none" w:color="000000" w:sz="4" w:space="0"/>
              <w:bottom w:val="single" w:color="auto" w:sz="4" w:space="0"/>
              <w:right w:val="single" w:color="auto" w:sz="8" w:space="0"/>
            </w:tcBorders>
            <w:tcW w:w="12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1套</w:t>
            </w:r>
            <w:r/>
          </w:p>
        </w:tc>
        <w:tc>
          <w:tcPr>
            <w:tcBorders>
              <w:top w:val="single" w:color="auto" w:sz="8" w:space="0"/>
              <w:left w:val="single" w:color="auto" w:sz="4" w:space="0"/>
              <w:bottom w:val="single" w:color="auto" w:sz="4" w:space="0"/>
              <w:right w:val="single" w:color="auto" w:sz="4" w:space="0"/>
            </w:tcBorders>
            <w:tcW w:w="25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0"/>
        <w:spacing w:line="360" w:lineRule="auto"/>
        <w:rPr>
          <w:rFonts w:ascii="宋体" w:hAnsi="宋体" w:cs="宋体"/>
          <w:szCs w:val="21"/>
        </w:rPr>
      </w:pPr>
      <w:r/>
      <w:bookmarkStart w:id="13" w:name="_Toc35393622"/>
      <w:r/>
      <w:bookmarkStart w:id="14" w:name="_Toc35393791"/>
      <w:r/>
      <w:bookmarkStart w:id="15" w:name="_Toc28359080"/>
      <w:r/>
      <w:bookmarkStart w:id="16" w:name="_Toc28359003"/>
      <w:r>
        <w:rPr>
          <w:rFonts w:hint="eastAsia" w:ascii="宋体" w:hAnsi="宋体" w:cs="宋体"/>
          <w:szCs w:val="21"/>
        </w:rPr>
        <w:t xml:space="preserve">6.合同履行期限：自收到采购单位通知后30天内交货及安装、调试完成。本项目所有软硬件原厂质保为5年。</w:t>
      </w:r>
      <w:r/>
    </w:p>
    <w:p>
      <w:pPr>
        <w:ind w:firstLine="420"/>
        <w:spacing w:line="360" w:lineRule="auto"/>
        <w:rPr>
          <w:rFonts w:ascii="宋体" w:hAnsi="宋体" w:cs="宋体"/>
          <w:b/>
          <w:szCs w:val="21"/>
        </w:rPr>
      </w:pPr>
      <w:r>
        <w:rPr>
          <w:rFonts w:hint="eastAsia" w:ascii="宋体" w:hAnsi="宋体" w:cs="宋体"/>
          <w:bCs/>
          <w:szCs w:val="21"/>
        </w:rPr>
        <w:t xml:space="preserve">7.本项目不接受联合体投标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3"/>
      <w:r/>
      <w:bookmarkEnd w:id="14"/>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7" w:name="_Toc28359081"/>
      <w:r/>
      <w:bookmarkStart w:id="18"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7.本项目的特定资格要求：无。</w:t>
      </w:r>
      <w:r/>
    </w:p>
    <w:p>
      <w:pPr>
        <w:ind w:firstLine="422"/>
        <w:spacing w:line="360" w:lineRule="auto"/>
        <w:rPr>
          <w:rFonts w:ascii="宋体" w:hAnsi="宋体" w:cs="宋体"/>
          <w:b/>
          <w:szCs w:val="21"/>
        </w:rPr>
      </w:pPr>
      <w:r/>
      <w:bookmarkStart w:id="19" w:name="_Toc35393792"/>
      <w:r/>
      <w:bookmarkStart w:id="20" w:name="_Toc35393623"/>
      <w:r>
        <w:rPr>
          <w:rFonts w:hint="eastAsia" w:ascii="宋体" w:hAnsi="宋体" w:cs="宋体"/>
          <w:b/>
          <w:szCs w:val="21"/>
        </w:rPr>
        <w:t xml:space="preserve">三、</w:t>
      </w:r>
      <w:bookmarkEnd w:id="17"/>
      <w:r/>
      <w:bookmarkEnd w:id="18"/>
      <w:r/>
      <w:bookmarkEnd w:id="19"/>
      <w:r/>
      <w:bookmarkEnd w:id="20"/>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1" w:name="_Toc28359005"/>
      <w:r/>
      <w:bookmarkStart w:id="22" w:name="_Toc28359082"/>
      <w:r/>
      <w:bookmarkStart w:id="23" w:name="_Toc35393624"/>
      <w:r/>
      <w:bookmarkStart w:id="24" w:name="_Toc35393793"/>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1"/>
      <w:r/>
      <w:bookmarkEnd w:id="22"/>
      <w:r>
        <w:rPr>
          <w:rFonts w:hint="eastAsia" w:ascii="宋体" w:hAnsi="宋体" w:cs="宋体"/>
          <w:b/>
          <w:szCs w:val="21"/>
        </w:rPr>
        <w:t xml:space="preserve">截止时间、开标时间和地点</w:t>
      </w:r>
      <w:bookmarkEnd w:id="23"/>
      <w:r/>
      <w:bookmarkEnd w:id="24"/>
      <w:r/>
      <w:r/>
    </w:p>
    <w:p>
      <w:pPr>
        <w:pStyle w:val="924"/>
        <w:spacing w:line="360" w:lineRule="auto"/>
        <w:rPr>
          <w:rFonts w:ascii="宋体" w:hAnsi="宋体" w:eastAsia="宋体" w:cs="宋体"/>
          <w:sz w:val="21"/>
          <w:szCs w:val="21"/>
        </w:rPr>
      </w:pPr>
      <w:r/>
      <w:bookmarkStart w:id="25" w:name="_Toc28359007"/>
      <w:r/>
      <w:bookmarkStart w:id="26" w:name="_Toc35393794"/>
      <w:r/>
      <w:bookmarkStart w:id="27" w:name="_Toc35393625"/>
      <w:r/>
      <w:bookmarkStart w:id="28" w:name="_Toc28359084"/>
      <w:r>
        <w:rPr>
          <w:rFonts w:hint="eastAsia" w:ascii="宋体" w:hAnsi="宋体" w:eastAsia="宋体" w:cs="宋体"/>
          <w:sz w:val="21"/>
          <w:szCs w:val="21"/>
        </w:rPr>
        <w:t xml:space="preserve">1.提交投标文件截止时间：2026年7月8日13：30（北京时间）； </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2.开标时间：2026年7月8日13：30（北京时间）；</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5"/>
      <w:r/>
      <w:bookmarkEnd w:id="26"/>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9" w:name="_Toc35393795"/>
      <w:r/>
      <w:bookmarkStart w:id="30" w:name="_Toc35393626"/>
      <w:r>
        <w:rPr>
          <w:rFonts w:hint="eastAsia" w:ascii="宋体" w:hAnsi="宋体" w:cs="宋体"/>
          <w:b/>
          <w:szCs w:val="21"/>
        </w:rPr>
        <w:t xml:space="preserve">其他补充事宜</w:t>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p>
    <w:p>
      <w:pPr>
        <w:ind w:firstLine="422"/>
        <w:spacing w:line="360" w:lineRule="auto"/>
        <w:rPr>
          <w:rFonts w:ascii="宋体" w:hAnsi="宋体" w:cs="宋体"/>
          <w:b/>
          <w:szCs w:val="21"/>
        </w:rPr>
      </w:pPr>
      <w:r/>
      <w:bookmarkStart w:id="31" w:name="_Toc35393627"/>
      <w:r/>
      <w:bookmarkStart w:id="32" w:name="_Toc28359008"/>
      <w:r/>
      <w:bookmarkStart w:id="33" w:name="_Toc35393796"/>
      <w:r/>
      <w:bookmarkStart w:id="34" w:name="_Toc28359085"/>
      <w:r>
        <w:rPr>
          <w:rFonts w:hint="eastAsia" w:ascii="宋体" w:hAnsi="宋体" w:cs="宋体"/>
          <w:b/>
          <w:szCs w:val="21"/>
        </w:rPr>
        <w:t xml:space="preserve">七、对本次招标提出询问，请按以下方式联系。</w:t>
      </w:r>
      <w:bookmarkEnd w:id="31"/>
      <w:r/>
      <w:bookmarkEnd w:id="32"/>
      <w:r/>
      <w:bookmarkEnd w:id="33"/>
      <w:r/>
      <w:bookmarkEnd w:id="34"/>
      <w:r/>
      <w:r/>
    </w:p>
    <w:p>
      <w:pPr>
        <w:ind w:firstLine="420"/>
        <w:jc w:val="left"/>
        <w:spacing w:line="360" w:lineRule="auto"/>
        <w:widowControl/>
        <w:rPr>
          <w:rFonts w:ascii="宋体" w:hAnsi="宋体" w:cs="宋体"/>
          <w:szCs w:val="21"/>
        </w:rPr>
      </w:pPr>
      <w:r/>
      <w:bookmarkStart w:id="35" w:name="_Toc35393786"/>
      <w:r/>
      <w:bookmarkStart w:id="36" w:name="_Toc35393617"/>
      <w:r/>
      <w:bookmarkStart w:id="37" w:name="_Toc28358998"/>
      <w:r/>
      <w:bookmarkStart w:id="38" w:name="_Toc28359075"/>
      <w:r>
        <w:rPr>
          <w:rFonts w:hint="eastAsia" w:ascii="宋体" w:hAnsi="宋体" w:cs="宋体"/>
          <w:szCs w:val="21"/>
        </w:rPr>
        <w:t xml:space="preserve">1.采购单位信息</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称：江苏盛泽医院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址：苏州市吴江区盛泽镇市场西路1399号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联系人：李腾云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话：0512-63097078</w:t>
      </w:r>
      <w:r/>
    </w:p>
    <w:p>
      <w:pPr>
        <w:ind w:firstLine="420"/>
        <w:jc w:val="left"/>
        <w:spacing w:line="360" w:lineRule="auto"/>
        <w:widowControl/>
        <w:rPr>
          <w:rFonts w:ascii="宋体" w:hAnsi="宋体" w:cs="宋体"/>
          <w:szCs w:val="21"/>
        </w:rPr>
      </w:pPr>
      <w:r/>
      <w:bookmarkStart w:id="39" w:name="_Toc35393619"/>
      <w:r/>
      <w:bookmarkStart w:id="40" w:name="_Toc28359000"/>
      <w:r/>
      <w:bookmarkStart w:id="41" w:name="_Toc28359077"/>
      <w:r/>
      <w:bookmarkStart w:id="42" w:name="_Toc35393788"/>
      <w:r>
        <w:rPr>
          <w:rFonts w:hint="eastAsia" w:ascii="宋体" w:hAnsi="宋体" w:cs="宋体"/>
          <w:szCs w:val="21"/>
        </w:rPr>
        <w:t xml:space="preserve">2.代理机构联系方式</w:t>
      </w:r>
      <w:bookmarkEnd w:id="39"/>
      <w:r/>
      <w:bookmarkEnd w:id="40"/>
      <w:r/>
      <w:bookmarkEnd w:id="41"/>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43" w:name="XTDLJG_2"/>
      <w:r>
        <w:rPr>
          <w:rFonts w:hint="eastAsia" w:ascii="宋体" w:hAnsi="宋体" w:cs="宋体"/>
          <w:szCs w:val="21"/>
        </w:rPr>
        <w:t xml:space="preserve">：</w:t>
      </w:r>
      <w:bookmarkEnd w:id="43"/>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7"/>
      <w:r/>
      <w:r/>
    </w:p>
    <w:p>
      <w:pPr>
        <w:pStyle w:val="938"/>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4"/>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4"/>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4"/>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最近一期（2026年3月至今任意一期）的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12.4.2其他</w:t>
      </w:r>
      <w:r>
        <w:rPr>
          <w:rFonts w:hint="eastAsia" w:ascii="宋体" w:hAnsi="宋体" w:cs="宋体"/>
        </w:rPr>
        <w:t xml:space="preserve">有关资格性证明的文件（如有）；</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rPr>
        <w:t xml:space="preserve">《售后服务承诺书》；</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12.5.8</w:t>
      </w:r>
      <w:bookmarkStart w:id="44" w:name="OLE_LINK5"/>
      <w:r/>
      <w:bookmarkStart w:id="45" w:name="OLE_LINK6"/>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bookmarkEnd w:id="44"/>
      <w:r/>
      <w:bookmarkEnd w:id="45"/>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12.6.3《质保期满后三年内备品备件、易损件报价表》、《投标货物和服务数量、品牌型号、性能、交货期说明表》、《人员配备情况表》；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59"/>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59"/>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59"/>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59"/>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59"/>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5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6" w:name="_Toc25608"/>
      <w:r/>
      <w:bookmarkStart w:id="47"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r/>
      <w:bookmarkEnd w:id="47"/>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5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5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4"/>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w:t>
      </w:r>
      <w:r>
        <w:rPr>
          <w:rFonts w:hint="eastAsia" w:ascii="宋体" w:hAnsi="宋体" w:cs="宋体"/>
          <w:szCs w:val="21"/>
          <w:lang w:val="en-US"/>
        </w:rPr>
        <w:t xml:space="preserve">逾期提交（上传）的投标文件，采购人和采购代理机构拒绝接收。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59"/>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59"/>
        <w:ind w:firstLine="420"/>
        <w:spacing w:line="360" w:lineRule="auto"/>
        <w:rPr>
          <w:rFonts w:ascii="宋体" w:hAnsi="宋体" w:cs="宋体"/>
          <w:szCs w:val="21"/>
        </w:rPr>
      </w:pPr>
      <w:r>
        <w:rPr>
          <w:rFonts w:hint="eastAsia" w:ascii="宋体" w:hAnsi="宋体" w:cs="宋体"/>
          <w:szCs w:val="21"/>
        </w:rPr>
        <w:t xml:space="preserve">21.3资格审查</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w:t>
      </w:r>
      <w:r>
        <w:rPr>
          <w:rFonts w:hint="eastAsia" w:ascii="宋体" w:hAnsi="宋体" w:cs="宋体"/>
          <w:szCs w:val="21"/>
        </w:rPr>
        <w:t xml:space="preserve">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履约保证金：按合同约定执行</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4"/>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38"/>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7"/>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4"/>
        <w:spacing w:line="360" w:lineRule="auto"/>
        <w:rPr>
          <w:rFonts w:ascii="宋体" w:hAnsi="宋体" w:eastAsia="宋体" w:cs="宋体"/>
          <w:sz w:val="21"/>
        </w:rPr>
      </w:pPr>
      <w:r>
        <w:rPr>
          <w:rFonts w:ascii="宋体" w:hAnsi="宋体" w:eastAsia="宋体" w:cs="宋体"/>
          <w:sz w:val="21"/>
        </w:rPr>
      </w:r>
      <w:r/>
    </w:p>
    <w:p>
      <w:pPr>
        <w:pStyle w:val="92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采购代理费、专利技术及质保等完成本次项目所需的一切费用。</w:t>
      </w:r>
      <w:r/>
    </w:p>
    <w:p>
      <w:pPr>
        <w:pStyle w:val="1003"/>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3"/>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3"/>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3"/>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3"/>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3"/>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3"/>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3"/>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3"/>
        <w:ind w:firstLine="420"/>
        <w:spacing w:line="360" w:lineRule="auto"/>
        <w:rPr>
          <w:rFonts w:hAnsi="宋体" w:eastAsia="宋体" w:cs="宋体"/>
          <w:sz w:val="21"/>
        </w:rPr>
      </w:pPr>
      <w:r>
        <w:rPr>
          <w:rFonts w:hint="eastAsia" w:hAnsi="宋体" w:eastAsia="宋体" w:cs="宋体"/>
          <w:sz w:val="21"/>
        </w:rPr>
        <w:t xml:space="preserve">10.综合说明：</w:t>
      </w:r>
      <w:r/>
    </w:p>
    <w:p>
      <w:pPr>
        <w:pStyle w:val="1003"/>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3"/>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3"/>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3"/>
        <w:ind w:firstLine="420"/>
        <w:spacing w:line="360" w:lineRule="auto"/>
        <w:rPr>
          <w:rFonts w:hAnsi="宋体" w:eastAsia="宋体" w:cs="宋体"/>
          <w:sz w:val="21"/>
        </w:rPr>
      </w:pPr>
      <w:r>
        <w:rPr>
          <w:rFonts w:hint="eastAsia" w:hAnsi="宋体" w:eastAsia="宋体" w:cs="宋体"/>
          <w:sz w:val="21"/>
        </w:rPr>
        <w:t xml:space="preserve">（4）其它说明。</w:t>
      </w:r>
      <w:r/>
    </w:p>
    <w:p>
      <w:pPr>
        <w:pStyle w:val="100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3"/>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3"/>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3"/>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3"/>
        <w:ind w:firstLine="420"/>
        <w:spacing w:line="360" w:lineRule="auto"/>
        <w:rPr>
          <w:rFonts w:hAnsi="宋体" w:eastAsia="宋体" w:cs="宋体"/>
          <w:sz w:val="21"/>
        </w:rPr>
      </w:pPr>
      <w:r>
        <w:rPr>
          <w:rFonts w:hint="eastAsia" w:hAnsi="宋体" w:eastAsia="宋体" w:cs="宋体"/>
          <w:sz w:val="21"/>
        </w:rPr>
        <w:t xml:space="preserve">邮箱地址：</w:t>
      </w:r>
      <w:r/>
    </w:p>
    <w:p>
      <w:pPr>
        <w:pStyle w:val="1003"/>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3"/>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2"/>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2"/>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2"/>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8"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0"/>
        <w:ind w:firstLine="420"/>
        <w:spacing w:line="360" w:lineRule="auto"/>
        <w:rPr>
          <w:rFonts w:hAnsi="宋体" w:eastAsia="宋体"/>
          <w:sz w:val="21"/>
        </w:rPr>
      </w:pPr>
      <w:r>
        <w:rPr>
          <w:rFonts w:hAnsi="宋体" w:eastAsia="宋体"/>
          <w:sz w:val="21"/>
        </w:rPr>
      </w:r>
      <w:r/>
    </w:p>
    <w:p>
      <w:pPr>
        <w:pStyle w:val="1000"/>
        <w:ind w:firstLine="420"/>
        <w:spacing w:line="360" w:lineRule="auto"/>
        <w:rPr>
          <w:rFonts w:hAnsi="宋体" w:eastAsia="宋体"/>
          <w:sz w:val="21"/>
        </w:rPr>
      </w:pPr>
      <w:r>
        <w:rPr>
          <w:rFonts w:hint="eastAsia" w:hAnsi="宋体" w:eastAsia="宋体"/>
          <w:sz w:val="21"/>
        </w:rPr>
        <w:t xml:space="preserve">投标单位（签章）：</w:t>
      </w:r>
      <w:r/>
    </w:p>
    <w:p>
      <w:pPr>
        <w:pStyle w:val="1000"/>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8"/>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8"/>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9" w:name="_Toc532452113"/>
      <w:r/>
      <w:bookmarkStart w:id="50" w:name="_Toc532444506"/>
      <w:r/>
      <w:bookmarkStart w:id="51" w:name="_Toc532444344"/>
      <w:r/>
      <w:bookmarkStart w:id="52" w:name="_Toc7888"/>
      <w:r/>
      <w:bookmarkStart w:id="53" w:name="_Toc518926909"/>
      <w:r/>
      <w:bookmarkStart w:id="54"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9"/>
      <w:r/>
      <w:bookmarkEnd w:id="50"/>
      <w:r/>
      <w:bookmarkEnd w:id="51"/>
      <w:r/>
      <w:bookmarkEnd w:id="52"/>
      <w:r/>
      <w:bookmarkEnd w:id="53"/>
      <w:r/>
      <w:bookmarkEnd w:id="54"/>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b/>
          <w:szCs w:val="21"/>
          <w:lang w:val="zh-CN"/>
        </w:rPr>
        <w:t xml:space="preserve">质保期满后三年内备品备件、易损件报价表（不含在投标报价中）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ascii="宋体" w:hAnsi="宋体"/>
          <w:b/>
          <w:bCs/>
          <w:szCs w:val="21"/>
        </w:rPr>
        <w:t xml:space="preserve">投标货物和服务数量、品牌型号、性能、技术规格、设备质量要求、交货期</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szCs w:val="21"/>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szCs w:val="21"/>
        </w:rPr>
      </w:pPr>
      <w:r>
        <w:rPr>
          <w:rFonts w:hint="eastAsia" w:ascii="宋体" w:hAnsi="宋体" w:cs="宋体"/>
          <w:b/>
          <w:bCs/>
          <w:szCs w:val="21"/>
        </w:rPr>
        <w:t xml:space="preserve">附件8：</w:t>
      </w:r>
      <w:r>
        <w:rPr>
          <w:rFonts w:hint="eastAsia" w:ascii="宋体" w:hAnsi="宋体" w:cs="宋体"/>
          <w:b/>
          <w:bCs/>
          <w:szCs w:val="21"/>
          <w:lang w:val="zh-CN"/>
        </w:rPr>
        <w:t xml:space="preserve">售后服务承诺书</w:t>
      </w:r>
      <w:r/>
    </w:p>
    <w:p>
      <w:pPr>
        <w:pStyle w:val="924"/>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附件10、针对本项目的人员配置表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附件11、</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附件12、关于资格文件的声明函</w:t>
      </w:r>
      <w:r/>
    </w:p>
    <w:p>
      <w:pPr>
        <w:pStyle w:val="92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4"/>
        <w:ind w:firstLine="422"/>
        <w:jc w:val="center"/>
        <w:spacing w:line="360" w:lineRule="auto"/>
        <w:rPr>
          <w:rFonts w:ascii="宋体" w:hAnsi="宋体" w:eastAsia="宋体" w:cs="宋体"/>
          <w:sz w:val="21"/>
        </w:rPr>
      </w:pPr>
      <w:r>
        <w:rPr>
          <w:rFonts w:ascii="宋体" w:hAnsi="宋体" w:eastAsia="宋体" w:cs="宋体"/>
          <w:sz w:val="21"/>
        </w:rPr>
      </w:r>
      <w:r/>
    </w:p>
    <w:p>
      <w:pPr>
        <w:pStyle w:val="924"/>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4"/>
        <w:ind w:firstLine="422"/>
        <w:spacing w:line="360" w:lineRule="auto"/>
        <w:rPr>
          <w:rFonts w:ascii="宋体" w:hAnsi="宋体" w:eastAsia="宋体" w:cs="宋体"/>
          <w:sz w:val="21"/>
        </w:rPr>
      </w:pPr>
      <w:r>
        <w:rPr>
          <w:rFonts w:ascii="宋体" w:hAnsi="宋体" w:eastAsia="宋体" w:cs="宋体"/>
          <w:sz w:val="21"/>
        </w:rPr>
      </w:r>
      <w:r/>
    </w:p>
    <w:p>
      <w:pPr>
        <w:pStyle w:val="924"/>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附件13、投标单位情况表</w:t>
      </w:r>
      <w:r/>
    </w:p>
    <w:p>
      <w:pPr>
        <w:pStyle w:val="92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附件14、投标（响应）保证承诺书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附件15、</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最近一期（2026年3月至今任意一期）的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附件16、声明函</w:t>
      </w:r>
      <w:r/>
    </w:p>
    <w:p>
      <w:pPr>
        <w:ind w:firstLine="2741"/>
        <w:rPr>
          <w:rFonts w:ascii="宋体" w:hAnsi="宋体" w:cs="宋体"/>
          <w:b/>
          <w:szCs w:val="21"/>
        </w:rPr>
      </w:pPr>
      <w:r>
        <w:rPr>
          <w:rFonts w:hint="eastAsia" w:ascii="宋体" w:hAnsi="宋体" w:cs="宋体"/>
          <w:b/>
          <w:szCs w:val="21"/>
        </w:rPr>
        <w:t xml:space="preserve">（1）</w:t>
      </w:r>
      <w:bookmarkStart w:id="55" w:name="_Toc1077"/>
      <w:r/>
      <w:bookmarkStart w:id="56" w:name="_Toc4028"/>
      <w:r>
        <w:rPr>
          <w:rFonts w:hint="eastAsia" w:ascii="宋体" w:hAnsi="宋体" w:cs="宋体"/>
          <w:szCs w:val="21"/>
        </w:rPr>
        <w:t xml:space="preserve">中小企业声明函（货物）</w:t>
      </w:r>
      <w:bookmarkEnd w:id="55"/>
      <w:r/>
      <w:bookmarkEnd w:id="56"/>
      <w:r/>
      <w:r/>
    </w:p>
    <w:p>
      <w:pPr>
        <w:pStyle w:val="928"/>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28"/>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28"/>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28"/>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1"/>
        <w:ind w:firstLine="420"/>
        <w:spacing w:line="240" w:lineRule="auto"/>
        <w:rPr>
          <w:rFonts w:ascii="宋体" w:hAnsi="宋体" w:cs="宋体"/>
          <w:b w:val="0"/>
          <w:bCs w:val="0"/>
          <w:sz w:val="21"/>
          <w:szCs w:val="24"/>
        </w:rPr>
      </w:pPr>
      <w:r/>
      <w:bookmarkStart w:id="57" w:name="_Toc532452121"/>
      <w:r/>
      <w:bookmarkStart w:id="58" w:name="_Toc532444514"/>
      <w:r/>
      <w:bookmarkStart w:id="59" w:name="_Toc532444352"/>
      <w:r/>
      <w:bookmarkStart w:id="60" w:name="_Toc2583149"/>
      <w:r/>
      <w:r/>
    </w:p>
    <w:p>
      <w:pPr>
        <w:pStyle w:val="941"/>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1"/>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1"/>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1"/>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1"/>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1"/>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0"/>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0"/>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0"/>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7</w:t>
      </w:r>
      <w:r>
        <w:rPr>
          <w:rFonts w:hint="eastAsia" w:hAnsi="宋体"/>
          <w:b/>
          <w:bCs/>
          <w:lang w:val="zh-CN"/>
        </w:rPr>
        <w:t xml:space="preserve">：</w:t>
      </w:r>
      <w:r>
        <w:rPr>
          <w:rFonts w:hint="eastAsia" w:ascii="宋体" w:hAnsi="宋体" w:cs="宋体"/>
          <w:b/>
          <w:szCs w:val="21"/>
        </w:rPr>
        <w:t xml:space="preserve">关于符合本国产品标准的声明函（招标编号：JSZC-320509-CJZB-G2026-0061号）</w:t>
      </w:r>
      <w:r/>
    </w:p>
    <w:p>
      <w:pPr>
        <w:pStyle w:val="944"/>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4"/>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4"/>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4"/>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4"/>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1"/>
          <w:rFonts w:hint="eastAsia" w:ascii="宋体" w:hAnsi="宋体" w:cs="宋体"/>
          <w:i w:val="0"/>
          <w:sz w:val="21"/>
          <w:szCs w:val="21"/>
          <w:u w:val="single"/>
          <w:shd w:val="clear" w:color="auto" w:fill="ffffff"/>
        </w:rPr>
        <w:t xml:space="preserve">（产品名称1）</w:t>
      </w:r>
      <w:r>
        <w:rPr>
          <w:rStyle w:val="95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Style w:val="95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z w:val="21"/>
          <w:szCs w:val="21"/>
          <w:u w:val="single"/>
          <w:shd w:val="clear" w:color="auto" w:fill="ffffff"/>
        </w:rPr>
        <w:t xml:space="preserve">（规定比例）</w:t>
      </w:r>
      <w:r>
        <w:rPr>
          <w:rStyle w:val="95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（关键组件）</w:t>
      </w:r>
      <w:r>
        <w:rPr>
          <w:rStyle w:val="95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（关键工序）</w:t>
      </w:r>
      <w:r>
        <w:rPr>
          <w:rStyle w:val="95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4"/>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4"/>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44"/>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4"/>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4"/>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4"/>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4"/>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0"/>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int="eastAsia" w:hAnsi="宋体" w:eastAsia="宋体"/>
          <w:b/>
          <w:bCs/>
          <w:sz w:val="21"/>
          <w:szCs w:val="24"/>
        </w:rPr>
        <w:t xml:space="preserve">附件18：</w:t>
      </w:r>
      <w:r>
        <w:rPr>
          <w:rFonts w:hint="eastAsia" w:hAnsi="宋体" w:eastAsia="宋体"/>
          <w:b/>
          <w:bCs/>
          <w:sz w:val="21"/>
          <w:szCs w:val="24"/>
          <w:lang w:val="zh-CN"/>
        </w:rPr>
        <w:t xml:space="preserve">政府采购合同信用融资政策告知函（本附件无需签章放置投标文件中）</w:t>
      </w:r>
      <w:r/>
    </w:p>
    <w:p>
      <w:pPr>
        <w:pStyle w:val="1000"/>
        <w:ind w:firstLine="420"/>
        <w:rPr>
          <w:rFonts w:hAnsi="宋体" w:eastAsia="宋体"/>
          <w:sz w:val="21"/>
          <w:szCs w:val="24"/>
          <w:lang w:val="zh-CN"/>
        </w:rPr>
      </w:pPr>
      <w:r>
        <w:rPr>
          <w:rFonts w:hAnsi="宋体" w:eastAsia="宋体"/>
          <w:sz w:val="21"/>
          <w:szCs w:val="24"/>
          <w:lang w:val="zh-CN"/>
        </w:rPr>
      </w:r>
      <w:r/>
    </w:p>
    <w:p>
      <w:pPr>
        <w:pStyle w:val="1000"/>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7"/>
      <w:r/>
      <w:bookmarkEnd w:id="58"/>
      <w:r/>
      <w:bookmarkEnd w:id="59"/>
      <w:r/>
      <w:bookmarkEnd w:id="60"/>
      <w:r/>
      <w:r/>
    </w:p>
    <w:p>
      <w:pPr>
        <w:pStyle w:val="938"/>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61" w:name="XTDLJG_1"/>
      <w:r>
        <w:rPr>
          <w:rFonts w:hint="eastAsia" w:ascii="宋体" w:hAnsi="宋体" w:cs="宋体"/>
          <w:szCs w:val="21"/>
          <w:lang w:val="zh-CN"/>
        </w:rPr>
        <w:t xml:space="preserve">受</w:t>
      </w:r>
      <w:r>
        <w:rPr>
          <w:rFonts w:hint="eastAsia" w:ascii="宋体" w:hAnsi="宋体" w:cs="宋体"/>
          <w:bCs/>
          <w:szCs w:val="21"/>
        </w:rPr>
        <w:t xml:space="preserve">江苏盛泽医院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数据灾备系统</w:t>
      </w:r>
      <w:r>
        <w:rPr>
          <w:rFonts w:hint="eastAsia" w:ascii="宋体" w:hAnsi="宋体" w:cs="宋体"/>
          <w:szCs w:val="21"/>
          <w:lang w:val="zh-CN"/>
        </w:rPr>
        <w:t xml:space="preserve">的政府采购进行国内公开招标。</w:t>
      </w:r>
      <w:r/>
    </w:p>
    <w:p>
      <w:pPr>
        <w:pStyle w:val="917"/>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JSZC-320509-CJZB-G2026-0061号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数据灾备系统</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预算金额：人民币壹佰壹拾万元整（¥：1100000.00）</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最高限价：人民币壹佰壹拾万元整（¥：1100000.00）</w:t>
      </w:r>
      <w:r/>
    </w:p>
    <w:p>
      <w:pPr>
        <w:ind w:firstLine="422"/>
        <w:spacing w:line="360" w:lineRule="auto"/>
        <w:rPr>
          <w:rFonts w:ascii="宋体" w:hAnsi="宋体" w:cs="宋体"/>
          <w:b/>
          <w:szCs w:val="21"/>
        </w:rPr>
        <w:outlineLvl w:val="0"/>
      </w:pPr>
      <w:r>
        <w:rPr>
          <w:rFonts w:hint="eastAsia" w:ascii="宋体" w:hAnsi="宋体" w:cs="宋体"/>
          <w:b/>
          <w:szCs w:val="21"/>
        </w:rPr>
        <w:t xml:space="preserve">四、具体采购内容</w:t>
      </w:r>
      <w:r/>
    </w:p>
    <w:p>
      <w:pPr>
        <w:ind w:firstLine="422"/>
        <w:spacing w:line="360" w:lineRule="auto"/>
        <w:rPr>
          <w:rFonts w:ascii="宋体" w:hAnsi="宋体" w:cs="宋体"/>
          <w:b/>
          <w:bCs/>
          <w:szCs w:val="21"/>
        </w:rPr>
        <w:outlineLvl w:val="0"/>
      </w:pPr>
      <w:r>
        <w:rPr>
          <w:rFonts w:hint="eastAsia" w:ascii="宋体" w:hAnsi="宋体" w:cs="宋体"/>
          <w:b/>
          <w:bCs/>
          <w:szCs w:val="21"/>
        </w:rPr>
        <w:t xml:space="preserve">（一）采购清单</w:t>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412"/>
        <w:gridCol w:w="3254"/>
        <w:gridCol w:w="852"/>
        <w:gridCol w:w="939"/>
      </w:tblGrid>
      <w:tr>
        <w:trPr>
          <w:jc w:val="center"/>
          <w:trHeight w:val="597"/>
        </w:trPr>
        <w:tc>
          <w:tcPr>
            <w:tcW w:w="847" w:type="dxa"/>
            <w:vAlign w:val="center"/>
            <w:textDirection w:val="lrTb"/>
            <w:noWrap w:val="false"/>
          </w:tcPr>
          <w:p>
            <w:pPr>
              <w:jc w:val="center"/>
              <w:spacing w:line="276" w:lineRule="auto"/>
              <w:widowControl/>
              <w:rPr>
                <w:rFonts w:cs="宋体"/>
                <w:b/>
                <w:bCs/>
                <w:szCs w:val="21"/>
              </w:rPr>
            </w:pPr>
            <w:r>
              <w:rPr>
                <w:rFonts w:hint="eastAsia" w:cs="宋体"/>
                <w:b/>
                <w:bCs/>
                <w:szCs w:val="21"/>
              </w:rPr>
              <w:t xml:space="preserve">序号</w:t>
            </w:r>
            <w:r/>
          </w:p>
        </w:tc>
        <w:tc>
          <w:tcPr>
            <w:tcW w:w="2412" w:type="dxa"/>
            <w:vAlign w:val="center"/>
            <w:textDirection w:val="lrTb"/>
            <w:noWrap w:val="false"/>
          </w:tcPr>
          <w:p>
            <w:pPr>
              <w:jc w:val="center"/>
              <w:spacing w:line="276" w:lineRule="auto"/>
              <w:widowControl/>
              <w:rPr>
                <w:rFonts w:cs="宋体"/>
                <w:b/>
                <w:bCs/>
                <w:szCs w:val="21"/>
              </w:rPr>
            </w:pPr>
            <w:r>
              <w:rPr>
                <w:rFonts w:hint="eastAsia" w:cs="宋体"/>
                <w:b/>
                <w:bCs/>
                <w:szCs w:val="21"/>
              </w:rPr>
              <w:t xml:space="preserve">名称</w:t>
            </w:r>
            <w:r/>
          </w:p>
        </w:tc>
        <w:tc>
          <w:tcPr>
            <w:tcW w:w="3254" w:type="dxa"/>
            <w:vAlign w:val="center"/>
            <w:textDirection w:val="lrTb"/>
            <w:noWrap w:val="false"/>
          </w:tcPr>
          <w:p>
            <w:pPr>
              <w:jc w:val="center"/>
              <w:spacing w:line="276" w:lineRule="auto"/>
              <w:widowControl/>
              <w:rPr>
                <w:rFonts w:cs="宋体"/>
                <w:b/>
                <w:bCs/>
                <w:szCs w:val="21"/>
              </w:rPr>
            </w:pPr>
            <w:r>
              <w:rPr>
                <w:rFonts w:hint="eastAsia" w:cs="宋体"/>
                <w:b/>
                <w:bCs/>
                <w:szCs w:val="21"/>
              </w:rPr>
              <w:t xml:space="preserve">详细参数</w:t>
            </w:r>
            <w:r/>
          </w:p>
        </w:tc>
        <w:tc>
          <w:tcPr>
            <w:tcW w:w="852" w:type="dxa"/>
            <w:vAlign w:val="center"/>
            <w:textDirection w:val="lrTb"/>
            <w:noWrap w:val="false"/>
          </w:tcPr>
          <w:p>
            <w:pPr>
              <w:jc w:val="center"/>
              <w:spacing w:line="276" w:lineRule="auto"/>
              <w:widowControl/>
              <w:rPr>
                <w:rFonts w:cs="宋体"/>
                <w:b/>
                <w:bCs/>
                <w:szCs w:val="21"/>
              </w:rPr>
            </w:pPr>
            <w:r>
              <w:rPr>
                <w:rFonts w:hint="eastAsia" w:cs="宋体"/>
                <w:b/>
                <w:bCs/>
                <w:szCs w:val="21"/>
              </w:rPr>
              <w:t xml:space="preserve">数量</w:t>
            </w:r>
            <w:r/>
          </w:p>
        </w:tc>
        <w:tc>
          <w:tcPr>
            <w:tcW w:w="939" w:type="dxa"/>
            <w:vAlign w:val="center"/>
            <w:textDirection w:val="lrTb"/>
            <w:noWrap w:val="false"/>
          </w:tcPr>
          <w:p>
            <w:pPr>
              <w:jc w:val="center"/>
              <w:spacing w:line="276" w:lineRule="auto"/>
              <w:widowControl/>
              <w:rPr>
                <w:rFonts w:cs="宋体"/>
                <w:b/>
                <w:bCs/>
                <w:szCs w:val="21"/>
              </w:rPr>
            </w:pPr>
            <w:r>
              <w:rPr>
                <w:rFonts w:hint="eastAsia" w:cs="宋体"/>
                <w:b/>
                <w:bCs/>
                <w:szCs w:val="21"/>
              </w:rPr>
              <w:t xml:space="preserve">单位</w:t>
            </w:r>
            <w:r/>
          </w:p>
        </w:tc>
      </w:tr>
      <w:tr>
        <w:trPr>
          <w:jc w:val="center"/>
          <w:trHeight w:val="597"/>
        </w:trPr>
        <w:tc>
          <w:tcPr>
            <w:tcW w:w="847" w:type="dxa"/>
            <w:vAlign w:val="center"/>
            <w:textDirection w:val="lrTb"/>
            <w:noWrap/>
          </w:tcPr>
          <w:p>
            <w:pPr>
              <w:jc w:val="center"/>
              <w:spacing w:line="276" w:lineRule="auto"/>
              <w:widowControl/>
              <w:rPr>
                <w:rFonts w:cs="宋体"/>
                <w:szCs w:val="21"/>
              </w:rPr>
            </w:pPr>
            <w:r>
              <w:rPr>
                <w:rFonts w:hint="eastAsia" w:cs="宋体"/>
                <w:szCs w:val="21"/>
              </w:rPr>
              <w:t xml:space="preserve">1</w:t>
            </w:r>
            <w:r/>
          </w:p>
        </w:tc>
        <w:tc>
          <w:tcPr>
            <w:tcW w:w="2412" w:type="dxa"/>
            <w:vAlign w:val="center"/>
            <w:textDirection w:val="lrTb"/>
            <w:noWrap w:val="false"/>
          </w:tcPr>
          <w:p>
            <w:pPr>
              <w:jc w:val="center"/>
              <w:spacing w:line="276" w:lineRule="auto"/>
              <w:widowControl/>
              <w:rPr>
                <w:rFonts w:cs="宋体"/>
                <w:szCs w:val="21"/>
              </w:rPr>
            </w:pPr>
            <w:r>
              <w:rPr>
                <w:rFonts w:hint="eastAsia" w:cs="宋体"/>
                <w:szCs w:val="21"/>
              </w:rPr>
              <w:t xml:space="preserve">数据灾备系统</w:t>
            </w:r>
            <w:r/>
          </w:p>
        </w:tc>
        <w:tc>
          <w:tcPr>
            <w:tcW w:w="3254" w:type="dxa"/>
            <w:vAlign w:val="center"/>
            <w:textDirection w:val="lrTb"/>
            <w:noWrap w:val="false"/>
          </w:tcPr>
          <w:p>
            <w:pPr>
              <w:jc w:val="center"/>
              <w:spacing w:line="276" w:lineRule="auto"/>
              <w:widowControl/>
              <w:rPr>
                <w:rFonts w:cs="宋体"/>
                <w:szCs w:val="21"/>
              </w:rPr>
            </w:pPr>
            <w:r>
              <w:rPr>
                <w:rFonts w:hint="eastAsia" w:cs="宋体"/>
                <w:szCs w:val="21"/>
              </w:rPr>
              <w:t xml:space="preserve">具体参数详见技术参数</w:t>
            </w:r>
            <w:r/>
          </w:p>
        </w:tc>
        <w:tc>
          <w:tcPr>
            <w:tcW w:w="852" w:type="dxa"/>
            <w:vAlign w:val="center"/>
            <w:textDirection w:val="lrTb"/>
            <w:noWrap/>
          </w:tcPr>
          <w:p>
            <w:pPr>
              <w:jc w:val="center"/>
              <w:spacing w:line="276" w:lineRule="auto"/>
              <w:widowControl/>
              <w:rPr>
                <w:rFonts w:cs="宋体"/>
                <w:szCs w:val="21"/>
              </w:rPr>
            </w:pPr>
            <w:r>
              <w:rPr>
                <w:rFonts w:hint="eastAsia" w:cs="宋体"/>
                <w:szCs w:val="21"/>
              </w:rPr>
              <w:t xml:space="preserve">1</w:t>
            </w:r>
            <w:r/>
          </w:p>
        </w:tc>
        <w:tc>
          <w:tcPr>
            <w:tcW w:w="939" w:type="dxa"/>
            <w:vAlign w:val="center"/>
            <w:textDirection w:val="lrTb"/>
            <w:noWrap/>
          </w:tcPr>
          <w:p>
            <w:pPr>
              <w:jc w:val="center"/>
              <w:spacing w:line="276" w:lineRule="auto"/>
              <w:widowControl/>
              <w:rPr>
                <w:rFonts w:cs="宋体"/>
                <w:szCs w:val="21"/>
              </w:rPr>
            </w:pPr>
            <w:r>
              <w:rPr>
                <w:rFonts w:hint="eastAsia" w:cs="宋体"/>
                <w:szCs w:val="21"/>
              </w:rPr>
              <w:t xml:space="preserve">套</w:t>
            </w:r>
            <w:r/>
          </w:p>
        </w:tc>
      </w:tr>
    </w:tbl>
    <w:p>
      <w:pPr>
        <w:ind w:firstLine="422"/>
        <w:spacing w:line="360" w:lineRule="auto"/>
        <w:rPr>
          <w:rFonts w:ascii="宋体" w:hAnsi="宋体" w:cs="宋体"/>
          <w:b/>
          <w:bCs/>
          <w:szCs w:val="21"/>
        </w:rPr>
        <w:outlineLvl w:val="0"/>
      </w:pPr>
      <w:r>
        <w:rPr>
          <w:rFonts w:hint="eastAsia" w:ascii="宋体" w:hAnsi="宋体" w:cs="宋体"/>
          <w:b/>
          <w:bCs/>
          <w:szCs w:val="21"/>
        </w:rPr>
        <w:t xml:space="preserve">（二）具体技术要求</w:t>
      </w:r>
      <w:r/>
    </w:p>
    <w:tbl>
      <w:tblPr>
        <w:tblStyle w:val="948"/>
        <w:tblW w:w="8506" w:type="dxa"/>
        <w:jc w:val="center"/>
        <w:tblCellMar>
          <w:left w:w="57" w:type="dxa"/>
        </w:tblCellMar>
        <w:tblLook w:val="04A0" w:firstRow="1" w:lastRow="0" w:firstColumn="1" w:lastColumn="0" w:noHBand="0" w:noVBand="1"/>
      </w:tblPr>
      <w:tblGrid>
        <w:gridCol w:w="1276"/>
        <w:gridCol w:w="7230"/>
      </w:tblGrid>
      <w:tr>
        <w:trPr>
          <w:jc w:val="center"/>
          <w:trHeight w:val="433"/>
        </w:trPr>
        <w:tc>
          <w:tcPr>
            <w:tcW w:w="1276" w:type="dxa"/>
            <w:vAlign w:val="center"/>
            <w:textDirection w:val="lrTb"/>
            <w:noWrap w:val="false"/>
          </w:tcPr>
          <w:p>
            <w:pPr>
              <w:jc w:val="center"/>
              <w:rPr>
                <w:b/>
                <w:bCs/>
                <w:szCs w:val="21"/>
              </w:rPr>
            </w:pPr>
            <w:r>
              <w:rPr>
                <w:rFonts w:hint="eastAsia"/>
                <w:b/>
                <w:bCs/>
                <w:szCs w:val="21"/>
              </w:rPr>
              <w:t xml:space="preserve">功能及技术指标</w:t>
            </w:r>
            <w:r/>
          </w:p>
        </w:tc>
        <w:tc>
          <w:tcPr>
            <w:tcW w:w="7230" w:type="dxa"/>
            <w:vAlign w:val="center"/>
            <w:textDirection w:val="lrTb"/>
            <w:noWrap w:val="false"/>
          </w:tcPr>
          <w:p>
            <w:pPr>
              <w:jc w:val="center"/>
              <w:rPr>
                <w:b/>
                <w:bCs/>
                <w:szCs w:val="21"/>
              </w:rPr>
            </w:pPr>
            <w:r>
              <w:rPr>
                <w:rFonts w:hint="eastAsia"/>
                <w:b/>
                <w:bCs/>
                <w:szCs w:val="21"/>
              </w:rPr>
              <w:t xml:space="preserve">技术参数要求</w:t>
            </w:r>
            <w:r/>
          </w:p>
        </w:tc>
      </w:tr>
      <w:tr>
        <w:trPr>
          <w:jc w:val="center"/>
        </w:trPr>
        <w:tc>
          <w:tcPr>
            <w:tcW w:w="1276" w:type="dxa"/>
            <w:textDirection w:val="lrTb"/>
            <w:noWrap w:val="false"/>
          </w:tcPr>
          <w:p>
            <w:pPr>
              <w:jc w:val="center"/>
              <w:rPr>
                <w:szCs w:val="21"/>
              </w:rPr>
            </w:pPr>
            <w:r>
              <w:rPr>
                <w:rFonts w:hint="eastAsia"/>
                <w:szCs w:val="21"/>
              </w:rPr>
              <w:t xml:space="preserve">基本要求</w:t>
            </w:r>
            <w:r/>
          </w:p>
        </w:tc>
        <w:tc>
          <w:tcPr>
            <w:tcW w:w="7230" w:type="dxa"/>
            <w:vAlign w:val="center"/>
            <w:textDirection w:val="lrTb"/>
            <w:noWrap w:val="false"/>
          </w:tcPr>
          <w:p>
            <w:pPr>
              <w:rPr>
                <w:szCs w:val="21"/>
              </w:rPr>
            </w:pPr>
            <w:r>
              <w:rPr>
                <w:rFonts w:hint="eastAsia"/>
                <w:szCs w:val="21"/>
              </w:rPr>
              <w:t xml:space="preserve">国产自主品牌，非</w:t>
            </w:r>
            <w:r>
              <w:rPr>
                <w:rFonts w:hint="eastAsia"/>
                <w:szCs w:val="21"/>
              </w:rPr>
              <w:t xml:space="preserve">OEM</w:t>
            </w:r>
            <w:r>
              <w:rPr>
                <w:rFonts w:hint="eastAsia"/>
                <w:szCs w:val="21"/>
              </w:rPr>
              <w:t xml:space="preserve">产品，数据灾备统一管理平台</w:t>
            </w:r>
            <w:r/>
          </w:p>
        </w:tc>
      </w:tr>
      <w:tr>
        <w:trPr>
          <w:jc w:val="center"/>
        </w:trPr>
        <w:tc>
          <w:tcPr>
            <w:tcW w:w="1276" w:type="dxa"/>
            <w:vAlign w:val="center"/>
            <w:textDirection w:val="lrTb"/>
            <w:noWrap w:val="false"/>
          </w:tcPr>
          <w:p>
            <w:pPr>
              <w:jc w:val="center"/>
              <w:rPr>
                <w:szCs w:val="21"/>
              </w:rPr>
            </w:pPr>
            <w:r>
              <w:rPr>
                <w:rFonts w:hint="eastAsia" w:ascii="宋体" w:hAnsi="宋体" w:cs="宋体"/>
                <w:b/>
                <w:bCs/>
                <w:szCs w:val="21"/>
              </w:rPr>
              <w:t xml:space="preserve">▲</w:t>
            </w:r>
            <w:r>
              <w:rPr>
                <w:rFonts w:hint="eastAsia"/>
                <w:szCs w:val="21"/>
              </w:rPr>
              <w:t xml:space="preserve">硬件资源</w:t>
            </w:r>
            <w:r/>
          </w:p>
        </w:tc>
        <w:tc>
          <w:tcPr>
            <w:tcW w:w="7230" w:type="dxa"/>
            <w:vAlign w:val="center"/>
            <w:textDirection w:val="lrTb"/>
            <w:noWrap w:val="false"/>
          </w:tcPr>
          <w:p>
            <w:pPr>
              <w:rPr>
                <w:szCs w:val="21"/>
              </w:rPr>
            </w:pPr>
            <w:r>
              <w:rPr>
                <w:rFonts w:hint="eastAsia"/>
                <w:szCs w:val="21"/>
              </w:rPr>
              <w:t xml:space="preserve">配置不少于</w:t>
            </w:r>
            <w:r>
              <w:rPr>
                <w:rFonts w:hint="eastAsia"/>
                <w:szCs w:val="21"/>
              </w:rPr>
              <w:t xml:space="preserve">2</w:t>
            </w:r>
            <w:r>
              <w:rPr>
                <w:rFonts w:hint="eastAsia"/>
                <w:szCs w:val="21"/>
              </w:rPr>
              <w:t xml:space="preserve">节点，单节点</w:t>
            </w:r>
            <w:r>
              <w:rPr>
                <w:rFonts w:hint="eastAsia"/>
                <w:szCs w:val="21"/>
              </w:rPr>
              <w:t xml:space="preserve">2U</w:t>
            </w:r>
            <w:r>
              <w:rPr>
                <w:rFonts w:hint="eastAsia"/>
                <w:szCs w:val="21"/>
              </w:rPr>
              <w:t xml:space="preserve">设备，冗余电源，</w:t>
            </w:r>
            <w:r>
              <w:rPr>
                <w:rFonts w:hint="eastAsia" w:cs="宋体"/>
                <w:szCs w:val="21"/>
              </w:rPr>
              <w:t xml:space="preserve">CPU</w:t>
            </w:r>
            <w:r>
              <w:rPr>
                <w:rFonts w:hint="eastAsia" w:cs="宋体"/>
                <w:szCs w:val="21"/>
              </w:rPr>
              <w:t xml:space="preserve">与操作系统符合中国信息安全测评中心和国家保密科技测评中心公布的安全可靠测评结果</w:t>
            </w:r>
            <w:r/>
          </w:p>
          <w:p>
            <w:pPr>
              <w:rPr>
                <w:szCs w:val="21"/>
              </w:rPr>
            </w:pPr>
            <w:r>
              <w:rPr>
                <w:rFonts w:hint="eastAsia"/>
                <w:szCs w:val="21"/>
              </w:rPr>
              <w:t xml:space="preserve">节点</w:t>
            </w:r>
            <w:r>
              <w:rPr>
                <w:rFonts w:hint="eastAsia"/>
                <w:szCs w:val="21"/>
              </w:rPr>
              <w:t xml:space="preserve">1</w:t>
            </w:r>
            <w:r>
              <w:rPr>
                <w:rFonts w:hint="eastAsia"/>
                <w:szCs w:val="21"/>
              </w:rPr>
              <w:t xml:space="preserve">配置：≥</w:t>
            </w:r>
            <w:r>
              <w:rPr>
                <w:rFonts w:hint="eastAsia"/>
                <w:szCs w:val="21"/>
              </w:rPr>
              <w:t xml:space="preserve">2</w:t>
            </w:r>
            <w:r>
              <w:rPr>
                <w:rFonts w:hint="eastAsia"/>
                <w:szCs w:val="21"/>
              </w:rPr>
              <w:t xml:space="preserve">块</w:t>
            </w:r>
            <w:r>
              <w:rPr>
                <w:rFonts w:hint="eastAsia"/>
                <w:szCs w:val="21"/>
              </w:rPr>
              <w:t xml:space="preserve">480GB SSD</w:t>
            </w:r>
            <w:r>
              <w:rPr>
                <w:rFonts w:hint="eastAsia"/>
                <w:szCs w:val="21"/>
              </w:rPr>
              <w:t xml:space="preserve">系统盘，≥</w:t>
            </w:r>
            <w:r>
              <w:rPr>
                <w:rFonts w:hint="eastAsia"/>
                <w:szCs w:val="21"/>
              </w:rPr>
              <w:t xml:space="preserve"> 192T SATA</w:t>
            </w:r>
            <w:r>
              <w:rPr>
                <w:rFonts w:hint="eastAsia"/>
                <w:szCs w:val="21"/>
              </w:rPr>
              <w:t xml:space="preserve">裸容量，</w:t>
            </w:r>
            <w:r>
              <w:rPr>
                <w:rFonts w:hint="eastAsia" w:cs="宋体"/>
                <w:szCs w:val="21"/>
              </w:rPr>
              <w:t xml:space="preserve">≥</w:t>
            </w:r>
            <w:r>
              <w:rPr>
                <w:rFonts w:hint="eastAsia" w:cs="宋体"/>
                <w:szCs w:val="21"/>
              </w:rPr>
              <w:t xml:space="preserve">2</w:t>
            </w:r>
            <w:r>
              <w:rPr>
                <w:rFonts w:hint="eastAsia" w:cs="宋体"/>
                <w:szCs w:val="21"/>
              </w:rPr>
              <w:t xml:space="preserve">颗</w:t>
            </w:r>
            <w:r>
              <w:rPr>
                <w:rFonts w:hint="eastAsia" w:cs="宋体"/>
                <w:szCs w:val="21"/>
              </w:rPr>
              <w:t xml:space="preserve">C86-4G</w:t>
            </w:r>
            <w:r>
              <w:rPr>
                <w:rFonts w:hint="eastAsia" w:cs="宋体"/>
                <w:szCs w:val="21"/>
              </w:rPr>
              <w:t xml:space="preserve">架构物理</w:t>
            </w:r>
            <w:r>
              <w:rPr>
                <w:rFonts w:hint="eastAsia" w:cs="宋体"/>
                <w:szCs w:val="21"/>
              </w:rPr>
              <w:t xml:space="preserve">CPU</w:t>
            </w:r>
            <w:r>
              <w:rPr>
                <w:rFonts w:hint="eastAsia"/>
                <w:szCs w:val="21"/>
              </w:rPr>
              <w:t xml:space="preserve">，</w:t>
            </w:r>
            <w:r>
              <w:rPr>
                <w:rFonts w:hint="eastAsia" w:cs="宋体"/>
                <w:szCs w:val="21"/>
              </w:rPr>
              <w:t xml:space="preserve">单颗主频≥</w:t>
            </w:r>
            <w:r>
              <w:rPr>
                <w:rFonts w:hint="eastAsia" w:cs="宋体"/>
                <w:szCs w:val="21"/>
              </w:rPr>
              <w:t xml:space="preserve">2.2GHZ</w:t>
            </w:r>
            <w:r>
              <w:rPr>
                <w:rFonts w:hint="eastAsia" w:cs="宋体"/>
                <w:szCs w:val="21"/>
              </w:rPr>
              <w:t xml:space="preserve">，核数≥</w:t>
            </w:r>
            <w:r>
              <w:rPr>
                <w:rFonts w:hint="eastAsia" w:cs="宋体"/>
                <w:szCs w:val="21"/>
              </w:rPr>
              <w:t xml:space="preserve">64</w:t>
            </w:r>
            <w:r>
              <w:rPr>
                <w:rFonts w:hint="eastAsia" w:cs="宋体"/>
                <w:szCs w:val="21"/>
              </w:rPr>
              <w:t xml:space="preserve">核，</w:t>
            </w:r>
            <w:r>
              <w:rPr>
                <w:rFonts w:hint="eastAsia"/>
                <w:szCs w:val="21"/>
              </w:rPr>
              <w:t xml:space="preserve">≥</w:t>
            </w:r>
            <w:r>
              <w:rPr>
                <w:rFonts w:hint="eastAsia"/>
                <w:szCs w:val="21"/>
              </w:rPr>
              <w:t xml:space="preserve">128G DDR5</w:t>
            </w:r>
            <w:r>
              <w:rPr>
                <w:rFonts w:hint="eastAsia"/>
                <w:szCs w:val="21"/>
              </w:rPr>
              <w:t xml:space="preserve">内存，≥</w:t>
            </w:r>
            <w:r>
              <w:rPr>
                <w:rFonts w:hint="eastAsia"/>
                <w:szCs w:val="21"/>
              </w:rPr>
              <w:t xml:space="preserve">2</w:t>
            </w:r>
            <w:r>
              <w:rPr>
                <w:rFonts w:hint="eastAsia"/>
                <w:szCs w:val="21"/>
              </w:rPr>
              <w:t xml:space="preserve">个千兆网口，≥</w:t>
            </w:r>
            <w:r>
              <w:rPr>
                <w:rFonts w:hint="eastAsia"/>
                <w:szCs w:val="21"/>
              </w:rPr>
              <w:t xml:space="preserve">2</w:t>
            </w:r>
            <w:r>
              <w:rPr>
                <w:rFonts w:hint="eastAsia"/>
                <w:szCs w:val="21"/>
              </w:rPr>
              <w:t xml:space="preserve">个双口万兆接口（含多模光模块）</w:t>
            </w:r>
            <w:r/>
          </w:p>
          <w:p>
            <w:pPr>
              <w:rPr>
                <w:szCs w:val="21"/>
              </w:rPr>
            </w:pPr>
            <w:r>
              <w:rPr>
                <w:rFonts w:hint="eastAsia"/>
                <w:szCs w:val="21"/>
              </w:rPr>
              <w:t xml:space="preserve">节点</w:t>
            </w:r>
            <w:r>
              <w:rPr>
                <w:rFonts w:hint="eastAsia"/>
                <w:szCs w:val="21"/>
              </w:rPr>
              <w:t xml:space="preserve">2</w:t>
            </w:r>
            <w:r>
              <w:rPr>
                <w:rFonts w:hint="eastAsia"/>
                <w:szCs w:val="21"/>
              </w:rPr>
              <w:t xml:space="preserve">配置：≥</w:t>
            </w:r>
            <w:r>
              <w:rPr>
                <w:rFonts w:hint="eastAsia"/>
                <w:szCs w:val="21"/>
              </w:rPr>
              <w:t xml:space="preserve">2</w:t>
            </w:r>
            <w:r>
              <w:rPr>
                <w:rFonts w:hint="eastAsia"/>
                <w:szCs w:val="21"/>
              </w:rPr>
              <w:t xml:space="preserve">块</w:t>
            </w:r>
            <w:r>
              <w:rPr>
                <w:rFonts w:hint="eastAsia"/>
                <w:szCs w:val="21"/>
              </w:rPr>
              <w:t xml:space="preserve">480GB SSD</w:t>
            </w:r>
            <w:r>
              <w:rPr>
                <w:rFonts w:hint="eastAsia"/>
                <w:szCs w:val="21"/>
              </w:rPr>
              <w:t xml:space="preserve">系统盘，≥</w:t>
            </w:r>
            <w:r>
              <w:rPr>
                <w:rFonts w:hint="eastAsia"/>
                <w:szCs w:val="21"/>
              </w:rPr>
              <w:t xml:space="preserve"> 15TB SSD</w:t>
            </w:r>
            <w:r>
              <w:rPr>
                <w:rFonts w:hint="eastAsia"/>
                <w:szCs w:val="21"/>
              </w:rPr>
              <w:t xml:space="preserve">裸容量，</w:t>
            </w:r>
            <w:r>
              <w:rPr>
                <w:rFonts w:hint="eastAsia" w:cs="宋体"/>
                <w:szCs w:val="21"/>
              </w:rPr>
              <w:t xml:space="preserve">≥</w:t>
            </w:r>
            <w:r>
              <w:rPr>
                <w:rFonts w:hint="eastAsia" w:cs="宋体"/>
                <w:szCs w:val="21"/>
              </w:rPr>
              <w:t xml:space="preserve">2</w:t>
            </w:r>
            <w:r>
              <w:rPr>
                <w:rFonts w:hint="eastAsia" w:cs="宋体"/>
                <w:szCs w:val="21"/>
              </w:rPr>
              <w:t xml:space="preserve">颗</w:t>
            </w:r>
            <w:r>
              <w:rPr>
                <w:rFonts w:hint="eastAsia" w:cs="宋体"/>
                <w:szCs w:val="21"/>
              </w:rPr>
              <w:t xml:space="preserve">C86-4G</w:t>
            </w:r>
            <w:r>
              <w:rPr>
                <w:rFonts w:hint="eastAsia" w:cs="宋体"/>
                <w:szCs w:val="21"/>
              </w:rPr>
              <w:t xml:space="preserve">架构物理</w:t>
            </w:r>
            <w:r>
              <w:rPr>
                <w:rFonts w:hint="eastAsia" w:cs="宋体"/>
                <w:szCs w:val="21"/>
              </w:rPr>
              <w:t xml:space="preserve">CPU</w:t>
            </w:r>
            <w:r>
              <w:rPr>
                <w:rFonts w:hint="eastAsia"/>
                <w:szCs w:val="21"/>
              </w:rPr>
              <w:t xml:space="preserve">，</w:t>
            </w:r>
            <w:r>
              <w:rPr>
                <w:rFonts w:hint="eastAsia" w:cs="宋体"/>
                <w:szCs w:val="21"/>
              </w:rPr>
              <w:t xml:space="preserve">单颗主频≥</w:t>
            </w:r>
            <w:r>
              <w:rPr>
                <w:rFonts w:hint="eastAsia" w:cs="宋体"/>
                <w:szCs w:val="21"/>
              </w:rPr>
              <w:t xml:space="preserve">2.2GHZ</w:t>
            </w:r>
            <w:r>
              <w:rPr>
                <w:rFonts w:hint="eastAsia" w:cs="宋体"/>
                <w:szCs w:val="21"/>
              </w:rPr>
              <w:t xml:space="preserve">，核数≥</w:t>
            </w:r>
            <w:r>
              <w:rPr>
                <w:rFonts w:hint="eastAsia" w:cs="宋体"/>
                <w:szCs w:val="21"/>
              </w:rPr>
              <w:t xml:space="preserve">64</w:t>
            </w:r>
            <w:r>
              <w:rPr>
                <w:rFonts w:hint="eastAsia" w:cs="宋体"/>
                <w:szCs w:val="21"/>
              </w:rPr>
              <w:t xml:space="preserve">核，</w:t>
            </w:r>
            <w:r>
              <w:rPr>
                <w:rFonts w:hint="eastAsia"/>
                <w:szCs w:val="21"/>
              </w:rPr>
              <w:t xml:space="preserve">≥</w:t>
            </w:r>
            <w:r>
              <w:rPr>
                <w:rFonts w:hint="eastAsia"/>
                <w:szCs w:val="21"/>
              </w:rPr>
              <w:t xml:space="preserve">512G DDR5</w:t>
            </w:r>
            <w:r>
              <w:rPr>
                <w:rFonts w:hint="eastAsia"/>
                <w:szCs w:val="21"/>
              </w:rPr>
              <w:t xml:space="preserve">内存，≥</w:t>
            </w:r>
            <w:r>
              <w:rPr>
                <w:rFonts w:hint="eastAsia"/>
                <w:szCs w:val="21"/>
              </w:rPr>
              <w:t xml:space="preserve">2</w:t>
            </w:r>
            <w:r>
              <w:rPr>
                <w:rFonts w:hint="eastAsia"/>
                <w:szCs w:val="21"/>
              </w:rPr>
              <w:t xml:space="preserve">个千兆网口，≥</w:t>
            </w:r>
            <w:r>
              <w:rPr>
                <w:rFonts w:hint="eastAsia"/>
                <w:szCs w:val="21"/>
              </w:rPr>
              <w:t xml:space="preserve">2</w:t>
            </w:r>
            <w:r>
              <w:rPr>
                <w:rFonts w:hint="eastAsia"/>
                <w:szCs w:val="21"/>
              </w:rPr>
              <w:t xml:space="preserve">个双口万兆接口（含多模光模块）</w:t>
            </w:r>
            <w:r/>
          </w:p>
        </w:tc>
      </w:tr>
      <w:tr>
        <w:trPr>
          <w:jc w:val="center"/>
        </w:trPr>
        <w:tc>
          <w:tcPr>
            <w:tcW w:w="1276" w:type="dxa"/>
            <w:vAlign w:val="center"/>
            <w:textDirection w:val="lrTb"/>
            <w:noWrap w:val="false"/>
          </w:tcPr>
          <w:p>
            <w:pPr>
              <w:jc w:val="center"/>
              <w:rPr>
                <w:szCs w:val="21"/>
              </w:rPr>
            </w:pPr>
            <w:r>
              <w:rPr>
                <w:rFonts w:hint="eastAsia"/>
                <w:szCs w:val="21"/>
              </w:rPr>
              <w:t xml:space="preserve">定时备份</w:t>
            </w:r>
            <w:r/>
          </w:p>
        </w:tc>
        <w:tc>
          <w:tcPr>
            <w:tcW w:w="7230" w:type="dxa"/>
            <w:vAlign w:val="center"/>
            <w:textDirection w:val="lrTb"/>
            <w:noWrap w:val="false"/>
          </w:tcPr>
          <w:p>
            <w:pPr>
              <w:rPr>
                <w:szCs w:val="21"/>
              </w:rPr>
            </w:pPr>
            <w:r>
              <w:rPr>
                <w:rFonts w:hint="eastAsia"/>
                <w:szCs w:val="21"/>
              </w:rPr>
              <w:t xml:space="preserve">配置不少于</w:t>
            </w:r>
            <w:r>
              <w:rPr>
                <w:rFonts w:hint="eastAsia"/>
                <w:szCs w:val="21"/>
              </w:rPr>
              <w:t xml:space="preserve">150TB</w:t>
            </w:r>
            <w:r>
              <w:rPr>
                <w:rFonts w:hint="eastAsia"/>
                <w:szCs w:val="21"/>
              </w:rPr>
              <w:t xml:space="preserve">的定时备份授权</w:t>
            </w:r>
            <w:r/>
          </w:p>
        </w:tc>
      </w:tr>
      <w:tr>
        <w:trPr>
          <w:jc w:val="center"/>
        </w:trPr>
        <w:tc>
          <w:tcPr>
            <w:tcW w:w="1276" w:type="dxa"/>
            <w:vAlign w:val="center"/>
            <w:textDirection w:val="lrTb"/>
            <w:noWrap w:val="false"/>
          </w:tcPr>
          <w:p>
            <w:pPr>
              <w:jc w:val="center"/>
              <w:rPr>
                <w:szCs w:val="21"/>
              </w:rPr>
            </w:pPr>
            <w:r>
              <w:rPr>
                <w:rFonts w:hint="eastAsia"/>
                <w:szCs w:val="21"/>
              </w:rPr>
              <w:t xml:space="preserve">实时备份</w:t>
            </w:r>
            <w:r/>
          </w:p>
        </w:tc>
        <w:tc>
          <w:tcPr>
            <w:tcW w:w="7230" w:type="dxa"/>
            <w:vAlign w:val="center"/>
            <w:textDirection w:val="lrTb"/>
            <w:noWrap w:val="false"/>
          </w:tcPr>
          <w:p>
            <w:pPr>
              <w:rPr>
                <w:szCs w:val="21"/>
              </w:rPr>
            </w:pPr>
            <w:r>
              <w:rPr>
                <w:rFonts w:hint="eastAsia"/>
                <w:szCs w:val="21"/>
              </w:rPr>
              <w:t xml:space="preserve">配置不少于</w:t>
            </w:r>
            <w:r>
              <w:rPr>
                <w:rFonts w:hint="eastAsia"/>
                <w:szCs w:val="21"/>
              </w:rPr>
              <w:t xml:space="preserve">15</w:t>
            </w:r>
            <w:r>
              <w:rPr>
                <w:rFonts w:hint="eastAsia"/>
                <w:szCs w:val="21"/>
              </w:rPr>
              <w:t xml:space="preserve">套业务主机的</w:t>
            </w:r>
            <w:r>
              <w:rPr>
                <w:rFonts w:hint="eastAsia"/>
                <w:szCs w:val="21"/>
              </w:rPr>
              <w:t xml:space="preserve">CDP</w:t>
            </w:r>
            <w:r>
              <w:rPr>
                <w:rFonts w:hint="eastAsia"/>
                <w:szCs w:val="21"/>
              </w:rPr>
              <w:t xml:space="preserve">备份授权</w:t>
            </w:r>
            <w:r/>
          </w:p>
        </w:tc>
      </w:tr>
      <w:tr>
        <w:trPr>
          <w:jc w:val="center"/>
        </w:trPr>
        <w:tc>
          <w:tcPr>
            <w:tcW w:w="1276" w:type="dxa"/>
            <w:vAlign w:val="center"/>
            <w:textDirection w:val="lrTb"/>
            <w:noWrap w:val="false"/>
          </w:tcPr>
          <w:p>
            <w:pPr>
              <w:jc w:val="center"/>
              <w:rPr>
                <w:szCs w:val="21"/>
              </w:rPr>
            </w:pPr>
            <w:r>
              <w:rPr>
                <w:rFonts w:hint="eastAsia"/>
                <w:szCs w:val="21"/>
              </w:rPr>
              <w:t xml:space="preserve">高可用容灾</w:t>
            </w:r>
            <w:r/>
          </w:p>
        </w:tc>
        <w:tc>
          <w:tcPr>
            <w:tcW w:w="7230" w:type="dxa"/>
            <w:vAlign w:val="center"/>
            <w:textDirection w:val="lrTb"/>
            <w:noWrap w:val="false"/>
          </w:tcPr>
          <w:p>
            <w:pPr>
              <w:rPr>
                <w:szCs w:val="21"/>
              </w:rPr>
            </w:pPr>
            <w:r>
              <w:rPr>
                <w:rFonts w:hint="eastAsia"/>
                <w:szCs w:val="21"/>
              </w:rPr>
              <w:t xml:space="preserve">配置不少于</w:t>
            </w:r>
            <w:r>
              <w:rPr>
                <w:rFonts w:hint="eastAsia"/>
                <w:szCs w:val="21"/>
              </w:rPr>
              <w:t xml:space="preserve">5</w:t>
            </w:r>
            <w:r>
              <w:rPr>
                <w:rFonts w:hint="eastAsia"/>
                <w:szCs w:val="21"/>
              </w:rPr>
              <w:t xml:space="preserve">套业务主机的高可用容灾授权</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监控功能</w:t>
            </w:r>
            <w:r/>
          </w:p>
        </w:tc>
        <w:tc>
          <w:tcPr>
            <w:tcW w:w="7230" w:type="dxa"/>
            <w:vAlign w:val="center"/>
            <w:textDirection w:val="lrTb"/>
            <w:noWrap w:val="false"/>
          </w:tcPr>
          <w:p>
            <w:pPr>
              <w:rPr>
                <w:szCs w:val="21"/>
              </w:rPr>
            </w:pPr>
            <w:r>
              <w:rPr>
                <w:rFonts w:hint="eastAsia"/>
                <w:szCs w:val="21"/>
              </w:rPr>
              <w:t xml:space="preserve">支持统一消息监控界面</w:t>
            </w:r>
            <w:r>
              <w:rPr>
                <w:rFonts w:hint="eastAsia"/>
                <w:szCs w:val="21"/>
              </w:rPr>
              <w:t xml:space="preserve">, </w:t>
            </w:r>
            <w:r>
              <w:rPr>
                <w:rFonts w:hint="eastAsia"/>
                <w:szCs w:val="21"/>
              </w:rPr>
              <w:t xml:space="preserve">统一管理灾备系统运行日志和告警信息</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★支持自动巡检提醒功能：可设置自动巡检邮件或短信，按设置时间自动发送平台规则运行状态，并支持季度巡检短信通知，可通过邮件、短信平台告警，缺一不可</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支持故障报警功能：如数据复制任务异常，源端主机或目标环境发生改变等影响灾备任务执行的警告，可通过邮件、短信平台告警</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灾备任务的实时监控：支持包括但不限于灾备任务的状态、传输速率、执行进度等</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资源监控：对服务器支持监测</w:t>
            </w:r>
            <w:r>
              <w:rPr>
                <w:rFonts w:hint="eastAsia"/>
                <w:szCs w:val="21"/>
              </w:rPr>
              <w:t xml:space="preserve">CPU/</w:t>
            </w:r>
            <w:r>
              <w:rPr>
                <w:rFonts w:hint="eastAsia"/>
                <w:szCs w:val="21"/>
              </w:rPr>
              <w:t xml:space="preserve">内存</w:t>
            </w:r>
            <w:r>
              <w:rPr>
                <w:rFonts w:hint="eastAsia"/>
                <w:szCs w:val="21"/>
              </w:rPr>
              <w:t xml:space="preserve">/</w:t>
            </w:r>
            <w:r>
              <w:rPr>
                <w:rFonts w:hint="eastAsia"/>
                <w:szCs w:val="21"/>
              </w:rPr>
              <w:t xml:space="preserve">磁盘占用率、磁盘</w:t>
            </w:r>
            <w:r>
              <w:rPr>
                <w:rFonts w:hint="eastAsia"/>
                <w:szCs w:val="21"/>
              </w:rPr>
              <w:t xml:space="preserve"> I/O</w:t>
            </w:r>
            <w:r>
              <w:rPr>
                <w:rFonts w:hint="eastAsia"/>
                <w:szCs w:val="21"/>
              </w:rPr>
              <w:t xml:space="preserve">、网络流量、服务器基本信息</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数据安全</w:t>
            </w:r>
            <w:r/>
          </w:p>
        </w:tc>
        <w:tc>
          <w:tcPr>
            <w:tcW w:w="7230" w:type="dxa"/>
            <w:vAlign w:val="center"/>
            <w:textDirection w:val="lrTb"/>
            <w:noWrap w:val="false"/>
          </w:tcPr>
          <w:p>
            <w:pPr>
              <w:rPr>
                <w:szCs w:val="21"/>
              </w:rPr>
            </w:pPr>
            <w:r>
              <w:rPr>
                <w:rFonts w:hint="eastAsia"/>
                <w:szCs w:val="21"/>
              </w:rPr>
              <w:t xml:space="preserve">灾备的数据传输过程支持加密、满足广域网传输需求</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支持对灾备端存储的数据完整性进行自动验证，并提供一致性比较报告</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支持数据备份防病毒保护，只允许备份进程或指定的进程访问备份数据，防止病毒或误删除导致的备份数据损坏</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支持灾备管理网络和灾备数据传输网络隔离，管理网络异常时不影响数据网络，数据网络异常时可以使用管理网络登录查看，两个网络相互独立，互不影响</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管理安全</w:t>
            </w:r>
            <w:r/>
          </w:p>
        </w:tc>
        <w:tc>
          <w:tcPr>
            <w:tcW w:w="7230" w:type="dxa"/>
            <w:vAlign w:val="center"/>
            <w:textDirection w:val="lrTb"/>
            <w:noWrap w:val="false"/>
          </w:tcPr>
          <w:p>
            <w:pPr>
              <w:rPr>
                <w:szCs w:val="21"/>
              </w:rPr>
            </w:pPr>
            <w:r>
              <w:rPr>
                <w:rFonts w:hint="eastAsia"/>
                <w:szCs w:val="21"/>
              </w:rPr>
              <w:t xml:space="preserve">系统提供普通管理员、普通用户、查看用户，不同的用户级别对应不同的管理权限</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提供账号管理、口令管理、权限管理等相关安全管理功能，用户口令加密存放，数据复制的系统管理和数据复制配置可分权限管理</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支持强口令方案，对密码长度、密码复杂度、密码有效期组合要求</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默认开启防暴力破解机制，可配置</w:t>
            </w:r>
            <w:r>
              <w:rPr>
                <w:rFonts w:hint="eastAsia"/>
                <w:szCs w:val="21"/>
              </w:rPr>
              <w:t xml:space="preserve">"</w:t>
            </w:r>
            <w:r>
              <w:rPr>
                <w:rFonts w:hint="eastAsia"/>
                <w:szCs w:val="21"/>
              </w:rPr>
              <w:t xml:space="preserve">允许尝试登录次数和失败锁定时间</w:t>
            </w:r>
            <w:r>
              <w:rPr>
                <w:rFonts w:hint="eastAsia"/>
                <w:szCs w:val="21"/>
              </w:rPr>
              <w:t xml:space="preserve">"</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易用性</w:t>
            </w:r>
            <w:r/>
          </w:p>
        </w:tc>
        <w:tc>
          <w:tcPr>
            <w:tcW w:w="7230" w:type="dxa"/>
            <w:vAlign w:val="center"/>
            <w:textDirection w:val="lrTb"/>
            <w:noWrap w:val="false"/>
          </w:tcPr>
          <w:p>
            <w:pPr>
              <w:rPr>
                <w:szCs w:val="21"/>
              </w:rPr>
            </w:pPr>
            <w:r>
              <w:rPr>
                <w:rFonts w:hint="eastAsia"/>
                <w:szCs w:val="21"/>
              </w:rPr>
              <w:t xml:space="preserve">操作全部界面化</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支持异构服务器扩容</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灾备复制的操作互相独立、可单独开启和停止</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支持一对多、多对一、级联等多种结构方式</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支持二级代理，兼容被隔离网络互相穿透和统一管理</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版本支持统一管理、一键式升级、远程批量安装和自动注册</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可靠性</w:t>
            </w:r>
            <w:r/>
          </w:p>
        </w:tc>
        <w:tc>
          <w:tcPr>
            <w:tcW w:w="7230" w:type="dxa"/>
            <w:vAlign w:val="center"/>
            <w:textDirection w:val="lrTb"/>
            <w:noWrap w:val="false"/>
          </w:tcPr>
          <w:p>
            <w:pPr>
              <w:rPr>
                <w:szCs w:val="21"/>
              </w:rPr>
            </w:pPr>
            <w:r>
              <w:rPr>
                <w:rFonts w:hint="eastAsia"/>
                <w:szCs w:val="21"/>
              </w:rPr>
              <w:t xml:space="preserve">支持集群部署、支持横向扩展</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灾备平台支持系统自身配置的备份</w:t>
            </w:r>
            <w:r>
              <w:rPr>
                <w:rFonts w:hint="eastAsia"/>
                <w:szCs w:val="21"/>
              </w:rPr>
              <w:t xml:space="preserve">/</w:t>
            </w:r>
            <w:r>
              <w:rPr>
                <w:rFonts w:hint="eastAsia"/>
                <w:szCs w:val="21"/>
              </w:rPr>
              <w:t xml:space="preserve">恢复机制，供管理员对配置进行定期备份或实时复制，在发生故障时恢复，控制台故障不影响正在运行的灾备任务，恢复控制台后状态正常</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可维护性</w:t>
            </w:r>
            <w:r/>
          </w:p>
        </w:tc>
        <w:tc>
          <w:tcPr>
            <w:tcW w:w="7230" w:type="dxa"/>
            <w:vAlign w:val="center"/>
            <w:textDirection w:val="lrTb"/>
            <w:noWrap w:val="false"/>
          </w:tcPr>
          <w:p>
            <w:pPr>
              <w:rPr>
                <w:szCs w:val="21"/>
              </w:rPr>
            </w:pPr>
            <w:r>
              <w:rPr>
                <w:rFonts w:hint="eastAsia"/>
                <w:szCs w:val="21"/>
              </w:rPr>
              <w:t xml:space="preserve">灾备代理程序支持启停控制、支持以应用程序或系统服务方式运行</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具有标准的开放式技术接口，可与其他系统集成</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支持二次开发，实现其他产品产品管理能力</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整机定时备份</w:t>
            </w:r>
            <w:r/>
          </w:p>
        </w:tc>
        <w:tc>
          <w:tcPr>
            <w:tcW w:w="7230" w:type="dxa"/>
            <w:vAlign w:val="center"/>
            <w:textDirection w:val="lrTb"/>
            <w:noWrap w:val="false"/>
          </w:tcPr>
          <w:p>
            <w:pPr>
              <w:rPr>
                <w:szCs w:val="21"/>
              </w:rPr>
            </w:pPr>
            <w:r>
              <w:rPr>
                <w:rFonts w:hint="eastAsia"/>
                <w:szCs w:val="21"/>
              </w:rPr>
              <w:t xml:space="preserve">整机恢复支持细粒度恢复，只恢复特定需要的目录，支持排除不需要恢复的目录或文件</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备份数据可恢复至任意平台，兼容性广，包括但不限于</w:t>
            </w:r>
            <w:r>
              <w:rPr>
                <w:rFonts w:hint="eastAsia"/>
                <w:szCs w:val="21"/>
              </w:rPr>
              <w:t xml:space="preserve">AWS,Azure,</w:t>
            </w:r>
            <w:r>
              <w:rPr>
                <w:rFonts w:hint="eastAsia"/>
                <w:szCs w:val="21"/>
              </w:rPr>
              <w:t xml:space="preserve">华为</w:t>
            </w:r>
            <w:r>
              <w:rPr>
                <w:rFonts w:hint="eastAsia"/>
                <w:szCs w:val="21"/>
              </w:rPr>
              <w:t xml:space="preserve">FS,H3C</w:t>
            </w:r>
            <w:r>
              <w:rPr>
                <w:rFonts w:hint="eastAsia"/>
                <w:szCs w:val="21"/>
              </w:rPr>
              <w:t xml:space="preserve">，</w:t>
            </w:r>
            <w:r>
              <w:rPr>
                <w:rFonts w:hint="eastAsia"/>
                <w:szCs w:val="21"/>
              </w:rPr>
              <w:t xml:space="preserve">VmWare</w:t>
            </w:r>
            <w:r>
              <w:rPr>
                <w:rFonts w:hint="eastAsia"/>
                <w:szCs w:val="21"/>
              </w:rPr>
              <w:t xml:space="preserve">，物理机，私有云、公有云平台等。支持</w:t>
            </w:r>
            <w:r>
              <w:rPr>
                <w:rFonts w:hint="eastAsia"/>
                <w:szCs w:val="21"/>
              </w:rPr>
              <w:t xml:space="preserve">P2V</w:t>
            </w:r>
            <w:r>
              <w:rPr>
                <w:rFonts w:hint="eastAsia"/>
                <w:szCs w:val="21"/>
              </w:rPr>
              <w:t xml:space="preserve">，</w:t>
            </w:r>
            <w:r>
              <w:rPr>
                <w:rFonts w:hint="eastAsia"/>
                <w:szCs w:val="21"/>
              </w:rPr>
              <w:t xml:space="preserve">V2V</w:t>
            </w:r>
            <w:r>
              <w:rPr>
                <w:rFonts w:hint="eastAsia"/>
                <w:szCs w:val="21"/>
              </w:rPr>
              <w:t xml:space="preserve">，</w:t>
            </w:r>
            <w:r>
              <w:rPr>
                <w:rFonts w:hint="eastAsia"/>
                <w:szCs w:val="21"/>
              </w:rPr>
              <w:t xml:space="preserve">P2P</w:t>
            </w:r>
            <w:r>
              <w:rPr>
                <w:rFonts w:hint="eastAsia"/>
                <w:szCs w:val="21"/>
              </w:rPr>
              <w:t xml:space="preserve">，</w:t>
            </w:r>
            <w:r>
              <w:rPr>
                <w:rFonts w:hint="eastAsia"/>
                <w:szCs w:val="21"/>
              </w:rPr>
              <w:t xml:space="preserve">V2P</w:t>
            </w:r>
            <w:r>
              <w:rPr>
                <w:rFonts w:hint="eastAsia"/>
                <w:szCs w:val="21"/>
              </w:rPr>
              <w:t xml:space="preserve">的恢复</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★整机恢复目标客户端有多个网卡时支持选择特定网卡映射源客户端网卡</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备份端对操作系统恢复时</w:t>
            </w:r>
            <w:r>
              <w:rPr>
                <w:rFonts w:hint="eastAsia"/>
                <w:szCs w:val="21"/>
              </w:rPr>
              <w:t xml:space="preserve">, </w:t>
            </w:r>
            <w:r>
              <w:rPr>
                <w:rFonts w:hint="eastAsia"/>
                <w:szCs w:val="21"/>
              </w:rPr>
              <w:t xml:space="preserve">无须操作系统、数据库、软件补丁、应用程序的重新安装</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整机备份至少支持</w:t>
            </w:r>
            <w:r>
              <w:rPr>
                <w:rFonts w:hint="eastAsia"/>
                <w:szCs w:val="21"/>
              </w:rPr>
              <w:t xml:space="preserve">4</w:t>
            </w:r>
            <w:r>
              <w:rPr>
                <w:rFonts w:hint="eastAsia"/>
                <w:szCs w:val="21"/>
              </w:rPr>
              <w:t xml:space="preserve">种传输压缩级别</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虚拟化无代理备份</w:t>
            </w:r>
            <w:r/>
          </w:p>
        </w:tc>
        <w:tc>
          <w:tcPr>
            <w:tcW w:w="7230" w:type="dxa"/>
            <w:vAlign w:val="center"/>
            <w:textDirection w:val="lrTb"/>
            <w:noWrap w:val="false"/>
          </w:tcPr>
          <w:p>
            <w:pPr>
              <w:rPr>
                <w:szCs w:val="21"/>
              </w:rPr>
            </w:pPr>
            <w:r>
              <w:rPr>
                <w:rFonts w:hint="eastAsia"/>
                <w:szCs w:val="21"/>
              </w:rPr>
              <w:t xml:space="preserve">提供对</w:t>
            </w:r>
            <w:r>
              <w:rPr>
                <w:rFonts w:hint="eastAsia"/>
                <w:szCs w:val="21"/>
              </w:rPr>
              <w:t xml:space="preserve">VMware vSphere ESX/ESXi</w:t>
            </w:r>
            <w:r>
              <w:rPr>
                <w:rFonts w:hint="eastAsia"/>
                <w:szCs w:val="21"/>
              </w:rPr>
              <w:t xml:space="preserve">、微软</w:t>
            </w:r>
            <w:r>
              <w:rPr>
                <w:rFonts w:hint="eastAsia"/>
                <w:szCs w:val="21"/>
              </w:rPr>
              <w:t xml:space="preserve">Hyper-V</w:t>
            </w:r>
            <w:r>
              <w:rPr>
                <w:rFonts w:hint="eastAsia"/>
                <w:szCs w:val="21"/>
              </w:rPr>
              <w:t xml:space="preserve">、华三</w:t>
            </w:r>
            <w:r>
              <w:rPr>
                <w:rFonts w:hint="eastAsia"/>
                <w:szCs w:val="21"/>
              </w:rPr>
              <w:t xml:space="preserve">CAS/UIS</w:t>
            </w:r>
            <w:r>
              <w:rPr>
                <w:rFonts w:hint="eastAsia"/>
                <w:szCs w:val="21"/>
              </w:rPr>
              <w:t xml:space="preserve">、华为云</w:t>
            </w:r>
            <w:r>
              <w:rPr>
                <w:rFonts w:hint="eastAsia"/>
                <w:szCs w:val="21"/>
              </w:rPr>
              <w:t xml:space="preserve">HCS</w:t>
            </w:r>
            <w:r>
              <w:rPr>
                <w:rFonts w:hint="eastAsia"/>
                <w:szCs w:val="21"/>
              </w:rPr>
              <w:t xml:space="preserve">、</w:t>
            </w:r>
            <w:r>
              <w:rPr>
                <w:rFonts w:hint="eastAsia"/>
                <w:szCs w:val="21"/>
              </w:rPr>
              <w:t xml:space="preserve">Fusioncompute</w:t>
            </w:r>
            <w:r>
              <w:rPr>
                <w:rFonts w:hint="eastAsia"/>
                <w:szCs w:val="21"/>
              </w:rPr>
              <w:t xml:space="preserve">、联想</w:t>
            </w:r>
            <w:r>
              <w:rPr>
                <w:rFonts w:hint="eastAsia"/>
                <w:szCs w:val="21"/>
              </w:rPr>
              <w:t xml:space="preserve">AIO</w:t>
            </w:r>
            <w:r>
              <w:rPr>
                <w:rFonts w:hint="eastAsia"/>
                <w:szCs w:val="21"/>
              </w:rPr>
              <w:t xml:space="preserve">、云宏</w:t>
            </w:r>
            <w:r>
              <w:rPr>
                <w:rFonts w:hint="eastAsia"/>
                <w:szCs w:val="21"/>
              </w:rPr>
              <w:t xml:space="preserve">winstack</w:t>
            </w:r>
            <w:r>
              <w:rPr>
                <w:rFonts w:hint="eastAsia"/>
                <w:szCs w:val="21"/>
              </w:rPr>
              <w:t xml:space="preserve">、阿里云飞天、云轴</w:t>
            </w:r>
            <w:r>
              <w:rPr>
                <w:rFonts w:hint="eastAsia"/>
                <w:szCs w:val="21"/>
              </w:rPr>
              <w:t xml:space="preserve">Zstack</w:t>
            </w:r>
            <w:r>
              <w:rPr>
                <w:rFonts w:hint="eastAsia"/>
                <w:szCs w:val="21"/>
              </w:rPr>
              <w:t xml:space="preserve">、</w:t>
            </w:r>
            <w:r>
              <w:rPr>
                <w:rFonts w:hint="eastAsia"/>
                <w:szCs w:val="21"/>
              </w:rPr>
              <w:t xml:space="preserve">OpenStack</w:t>
            </w:r>
            <w:r>
              <w:rPr>
                <w:rFonts w:hint="eastAsia"/>
                <w:szCs w:val="21"/>
              </w:rPr>
              <w:t xml:space="preserve">、</w:t>
            </w:r>
            <w:r>
              <w:rPr>
                <w:rFonts w:hint="eastAsia"/>
                <w:szCs w:val="21"/>
              </w:rPr>
              <w:t xml:space="preserve">Easystack</w:t>
            </w:r>
            <w:r>
              <w:rPr>
                <w:rFonts w:hint="eastAsia"/>
                <w:szCs w:val="21"/>
              </w:rPr>
              <w:t xml:space="preserve">、深信服</w:t>
            </w:r>
            <w:r>
              <w:rPr>
                <w:rFonts w:hint="eastAsia"/>
                <w:szCs w:val="21"/>
              </w:rPr>
              <w:t xml:space="preserve">scp</w:t>
            </w:r>
            <w:r>
              <w:rPr>
                <w:rFonts w:hint="eastAsia"/>
                <w:szCs w:val="21"/>
              </w:rPr>
              <w:t xml:space="preserve">、</w:t>
            </w:r>
            <w:r>
              <w:rPr>
                <w:rFonts w:hint="eastAsia"/>
                <w:szCs w:val="21"/>
              </w:rPr>
              <w:t xml:space="preserve">SmartX</w:t>
            </w:r>
            <w:r>
              <w:rPr>
                <w:rFonts w:hint="eastAsia"/>
                <w:szCs w:val="21"/>
              </w:rPr>
              <w:t xml:space="preserve">等虚拟化应用以虚拟机、资源池和整个集群为单位进行无代理备份保护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w:t>
            </w:r>
            <w:r>
              <w:rPr>
                <w:rFonts w:hint="eastAsia"/>
                <w:szCs w:val="21"/>
              </w:rPr>
              <w:t xml:space="preserve">thin</w:t>
            </w:r>
            <w:r>
              <w:rPr>
                <w:rFonts w:hint="eastAsia"/>
                <w:szCs w:val="21"/>
              </w:rPr>
              <w:t xml:space="preserve">模式和</w:t>
            </w:r>
            <w:r>
              <w:rPr>
                <w:rFonts w:hint="eastAsia"/>
                <w:szCs w:val="21"/>
              </w:rPr>
              <w:t xml:space="preserve">thick</w:t>
            </w:r>
            <w:r>
              <w:rPr>
                <w:rFonts w:hint="eastAsia"/>
                <w:szCs w:val="21"/>
              </w:rPr>
              <w:t xml:space="preserve">模式磁盘分配的虚拟机</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提供配置瞬时恢复功能，可通过基于文件的</w:t>
            </w:r>
            <w:r>
              <w:rPr>
                <w:rFonts w:hint="eastAsia"/>
                <w:szCs w:val="21"/>
              </w:rPr>
              <w:t xml:space="preserve">(NFS)</w:t>
            </w:r>
            <w:r>
              <w:rPr>
                <w:rFonts w:hint="eastAsia"/>
                <w:szCs w:val="21"/>
              </w:rPr>
              <w:t xml:space="preserve">主存储中直接备份，能够更快地执行</w:t>
            </w:r>
            <w:r>
              <w:rPr>
                <w:rFonts w:hint="eastAsia"/>
                <w:szCs w:val="21"/>
              </w:rPr>
              <w:t xml:space="preserve">VSphere</w:t>
            </w:r>
            <w:r>
              <w:rPr>
                <w:rFonts w:hint="eastAsia"/>
                <w:szCs w:val="21"/>
              </w:rPr>
              <w:t xml:space="preserve">备份、复制和还原，并降低对虚拟化环境的影响；无需单独购买授权</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提供虚机在线异地复制功能，可具备跨虚拟化版本下的虚拟机直接不落地复制。无需单独购买授权</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配置备份自动演练功能，在备份完成后，可对备份的虚拟机进行自动恢复演练。无需单独购买授权</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能够从生产中心和容灾中心的备份文件快速启动虚拟机用于生产，而无需将备份文件先恢复到生产存储</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能够在备份作业运行期间动态的增加新虚拟机</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w:t>
            </w:r>
            <w:r>
              <w:rPr>
                <w:rFonts w:hint="eastAsia"/>
                <w:szCs w:val="21"/>
              </w:rPr>
              <w:t xml:space="preserve">LAN-free</w:t>
            </w:r>
            <w:r>
              <w:rPr>
                <w:rFonts w:hint="eastAsia"/>
                <w:szCs w:val="21"/>
              </w:rPr>
              <w:t xml:space="preserve">方式备份，无需单独购买授权</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可以并行和顺序处理备份作业</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支持在隔离环境内直接从备份运行以一个或多个虚拟机，能够在不影响业务运营的情况下对生产环境的工作中副本进行故障排除、测试和训练</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虚机备份至少支持</w:t>
            </w:r>
            <w:r>
              <w:rPr>
                <w:rFonts w:hint="eastAsia"/>
                <w:szCs w:val="21"/>
              </w:rPr>
              <w:t xml:space="preserve">5</w:t>
            </w:r>
            <w:r>
              <w:rPr>
                <w:rFonts w:hint="eastAsia"/>
                <w:szCs w:val="21"/>
              </w:rPr>
              <w:t xml:space="preserve">种数据传输模式</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支持在指定的时间进行磁盘整合</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数据定时备份</w:t>
            </w:r>
            <w:r/>
          </w:p>
        </w:tc>
        <w:tc>
          <w:tcPr>
            <w:tcW w:w="7230" w:type="dxa"/>
            <w:vAlign w:val="center"/>
            <w:textDirection w:val="lrTb"/>
            <w:noWrap w:val="false"/>
          </w:tcPr>
          <w:p>
            <w:pPr>
              <w:rPr>
                <w:szCs w:val="21"/>
              </w:rPr>
            </w:pPr>
            <w:r>
              <w:rPr>
                <w:rFonts w:hint="eastAsia"/>
                <w:szCs w:val="21"/>
              </w:rPr>
              <w:t xml:space="preserve">支持国产主流的数据库备份恢复，包括但不限于达梦</w:t>
            </w:r>
            <w:r>
              <w:rPr>
                <w:rFonts w:hint="eastAsia"/>
                <w:szCs w:val="21"/>
              </w:rPr>
              <w:t xml:space="preserve">(DM)</w:t>
            </w:r>
            <w:r>
              <w:rPr>
                <w:rFonts w:hint="eastAsia"/>
                <w:szCs w:val="21"/>
              </w:rPr>
              <w:t xml:space="preserve">、人大金仓</w:t>
            </w:r>
            <w:r>
              <w:rPr>
                <w:rFonts w:hint="eastAsia"/>
                <w:szCs w:val="21"/>
              </w:rPr>
              <w:t xml:space="preserve">(Kingbase)</w:t>
            </w:r>
            <w:r>
              <w:rPr>
                <w:rFonts w:hint="eastAsia"/>
                <w:szCs w:val="21"/>
              </w:rPr>
              <w:t xml:space="preserve">、南大通用</w:t>
            </w:r>
            <w:r>
              <w:rPr>
                <w:rFonts w:hint="eastAsia"/>
                <w:szCs w:val="21"/>
              </w:rPr>
              <w:t xml:space="preserve">(GBase)</w:t>
            </w:r>
            <w:r>
              <w:rPr>
                <w:rFonts w:hint="eastAsia"/>
                <w:szCs w:val="21"/>
              </w:rPr>
              <w:t xml:space="preserve">、中兴</w:t>
            </w:r>
            <w:r>
              <w:rPr>
                <w:rFonts w:hint="eastAsia"/>
                <w:szCs w:val="21"/>
              </w:rPr>
              <w:t xml:space="preserve">(GoldenDB)</w:t>
            </w:r>
            <w:r>
              <w:rPr>
                <w:rFonts w:hint="eastAsia"/>
                <w:szCs w:val="21"/>
              </w:rPr>
              <w:t xml:space="preserve">、阿里</w:t>
            </w:r>
            <w:r>
              <w:rPr>
                <w:rFonts w:hint="eastAsia"/>
                <w:szCs w:val="21"/>
              </w:rPr>
              <w:t xml:space="preserve">(OceanBase)</w:t>
            </w:r>
            <w:r>
              <w:rPr>
                <w:rFonts w:hint="eastAsia"/>
                <w:szCs w:val="21"/>
              </w:rPr>
              <w:t xml:space="preserve">、华为高斯</w:t>
            </w:r>
            <w:r>
              <w:rPr>
                <w:rFonts w:hint="eastAsia"/>
                <w:szCs w:val="21"/>
              </w:rPr>
              <w:t xml:space="preserve">(GaussDB DWS)</w:t>
            </w:r>
            <w:r>
              <w:rPr>
                <w:rFonts w:hint="eastAsia"/>
                <w:szCs w:val="21"/>
              </w:rPr>
              <w:t xml:space="preserve">等数据库</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支持直接备份到对象存储或带库、磁带等设备进行数据归档</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全自动化的备份，支持完全备份、增量备份、差异备份</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兼容各类硬件存储，支持异构存储间数据备份</w:t>
            </w:r>
            <w:r>
              <w:rPr>
                <w:rFonts w:hint="eastAsia"/>
                <w:szCs w:val="21"/>
              </w:rPr>
              <w:t xml:space="preserve">, </w:t>
            </w:r>
            <w:r>
              <w:rPr>
                <w:rFonts w:hint="eastAsia"/>
                <w:szCs w:val="21"/>
              </w:rPr>
              <w:t xml:space="preserve">实现跨虚拟化池、跨存储的数据保护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数据备份支持选择性配置策略</w:t>
            </w:r>
            <w:r>
              <w:rPr>
                <w:rFonts w:hint="eastAsia"/>
                <w:szCs w:val="21"/>
              </w:rPr>
              <w:t xml:space="preserve">, </w:t>
            </w:r>
            <w:r>
              <w:rPr>
                <w:rFonts w:hint="eastAsia"/>
                <w:szCs w:val="21"/>
              </w:rPr>
              <w:t xml:space="preserve">可忽略文件或目录，避免无效数据占用带宽资源</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提供多种数据压缩算法与加密功能</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软件自带流控功能，支持基于日期、时间的策略</w:t>
            </w:r>
            <w:r>
              <w:rPr>
                <w:rFonts w:hint="eastAsia"/>
                <w:szCs w:val="21"/>
              </w:rPr>
              <w:t xml:space="preserve">, </w:t>
            </w:r>
            <w:r>
              <w:rPr>
                <w:rFonts w:hint="eastAsia"/>
                <w:szCs w:val="21"/>
              </w:rPr>
              <w:t xml:space="preserve">可设置限速减轻生产网络压力</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支持同时执行多个数据复制操作、互相独立、可单独开启和停止</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支持对象存储的备份</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支持对备份数据进行分片处理</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w:t>
            </w:r>
            <w:r>
              <w:rPr>
                <w:rFonts w:hint="eastAsia"/>
                <w:szCs w:val="21"/>
              </w:rPr>
              <w:t xml:space="preserve">HDFS</w:t>
            </w:r>
            <w:r>
              <w:rPr>
                <w:rFonts w:hint="eastAsia"/>
                <w:szCs w:val="21"/>
              </w:rPr>
              <w:t xml:space="preserve">和</w:t>
            </w:r>
            <w:r>
              <w:rPr>
                <w:rFonts w:hint="eastAsia"/>
                <w:szCs w:val="21"/>
              </w:rPr>
              <w:t xml:space="preserve">HIVE</w:t>
            </w:r>
            <w:r>
              <w:rPr>
                <w:rFonts w:hint="eastAsia"/>
                <w:szCs w:val="21"/>
              </w:rPr>
              <w:t xml:space="preserve">两种大数据的备份</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w:t>
            </w:r>
            <w:r>
              <w:rPr>
                <w:rFonts w:hint="eastAsia"/>
                <w:szCs w:val="21"/>
              </w:rPr>
              <w:t xml:space="preserve">K8S</w:t>
            </w:r>
            <w:r>
              <w:rPr>
                <w:rFonts w:hint="eastAsia"/>
                <w:szCs w:val="21"/>
              </w:rPr>
              <w:t xml:space="preserve">集群的备份保护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支持备份数据压缩加密，支持至少</w:t>
            </w:r>
            <w:r>
              <w:rPr>
                <w:rFonts w:hint="eastAsia"/>
                <w:szCs w:val="21"/>
              </w:rPr>
              <w:t xml:space="preserve">5</w:t>
            </w:r>
            <w:r>
              <w:rPr>
                <w:rFonts w:hint="eastAsia"/>
                <w:szCs w:val="21"/>
              </w:rPr>
              <w:t xml:space="preserve">种压缩算法级别，以及</w:t>
            </w:r>
            <w:r>
              <w:rPr>
                <w:rFonts w:hint="eastAsia"/>
                <w:szCs w:val="21"/>
              </w:rPr>
              <w:t xml:space="preserve">4</w:t>
            </w:r>
            <w:r>
              <w:rPr>
                <w:rFonts w:hint="eastAsia"/>
                <w:szCs w:val="21"/>
              </w:rPr>
              <w:t xml:space="preserve">种加密算法方式</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文件备份可选文件安全属性同步或不同步</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CDP</w:t>
            </w:r>
            <w:r>
              <w:rPr>
                <w:rFonts w:hint="eastAsia"/>
                <w:szCs w:val="21"/>
              </w:rPr>
              <w:t xml:space="preserve">持续数据保护</w:t>
            </w:r>
            <w:r/>
          </w:p>
        </w:tc>
        <w:tc>
          <w:tcPr>
            <w:tcW w:w="7230" w:type="dxa"/>
            <w:vAlign w:val="center"/>
            <w:textDirection w:val="lrTb"/>
            <w:noWrap w:val="false"/>
          </w:tcPr>
          <w:p>
            <w:pPr>
              <w:rPr>
                <w:szCs w:val="21"/>
              </w:rPr>
            </w:pPr>
            <w:r>
              <w:rPr>
                <w:rFonts w:hint="eastAsia"/>
                <w:szCs w:val="21"/>
              </w:rPr>
              <w:t xml:space="preserve">★</w:t>
            </w:r>
            <w:r>
              <w:rPr>
                <w:rFonts w:hint="eastAsia"/>
                <w:szCs w:val="21"/>
              </w:rPr>
              <w:t xml:space="preserve">CDP</w:t>
            </w:r>
            <w:r>
              <w:rPr>
                <w:rFonts w:hint="eastAsia"/>
                <w:szCs w:val="21"/>
              </w:rPr>
              <w:t xml:space="preserve">备份支持过滤功能，可忽略文件或目录，避免无用数据占用带宽资源</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w:t>
            </w:r>
            <w:r>
              <w:rPr>
                <w:rFonts w:hint="eastAsia"/>
                <w:szCs w:val="21"/>
              </w:rPr>
              <w:t xml:space="preserve">CDP</w:t>
            </w:r>
            <w:r>
              <w:rPr>
                <w:rFonts w:hint="eastAsia"/>
                <w:szCs w:val="21"/>
              </w:rPr>
              <w:t xml:space="preserve">恢复界面可显示所需恢复文件名称、文件路径、文件写入、修改、删除时间，且细腻度达到小数点后六位，即</w:t>
            </w:r>
            <w:r>
              <w:rPr>
                <w:rFonts w:hint="eastAsia"/>
                <w:szCs w:val="21"/>
              </w:rPr>
              <w:t xml:space="preserve">0.000001</w:t>
            </w:r>
            <w:r>
              <w:rPr>
                <w:rFonts w:hint="eastAsia"/>
                <w:szCs w:val="21"/>
              </w:rPr>
              <w:t xml:space="preserve">秒，方便数据恢复点查找</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支持对</w:t>
            </w:r>
            <w:r>
              <w:rPr>
                <w:rFonts w:hint="eastAsia"/>
                <w:szCs w:val="21"/>
              </w:rPr>
              <w:t xml:space="preserve">Oracle</w:t>
            </w:r>
            <w:r>
              <w:rPr>
                <w:rFonts w:hint="eastAsia"/>
                <w:szCs w:val="21"/>
              </w:rPr>
              <w:t xml:space="preserve">、</w:t>
            </w:r>
            <w:r>
              <w:rPr>
                <w:rFonts w:hint="eastAsia"/>
                <w:szCs w:val="21"/>
              </w:rPr>
              <w:t xml:space="preserve">DB2</w:t>
            </w:r>
            <w:r>
              <w:rPr>
                <w:rFonts w:hint="eastAsia"/>
                <w:szCs w:val="21"/>
              </w:rPr>
              <w:t xml:space="preserve">、</w:t>
            </w:r>
            <w:r>
              <w:rPr>
                <w:rFonts w:hint="eastAsia"/>
                <w:szCs w:val="21"/>
              </w:rPr>
              <w:t xml:space="preserve">MySQL</w:t>
            </w:r>
            <w:r>
              <w:rPr>
                <w:rFonts w:hint="eastAsia"/>
                <w:szCs w:val="21"/>
              </w:rPr>
              <w:t xml:space="preserve">、达梦、南大通用、</w:t>
            </w:r>
            <w:r>
              <w:rPr>
                <w:rFonts w:hint="eastAsia"/>
                <w:szCs w:val="21"/>
              </w:rPr>
              <w:t xml:space="preserve">Informix</w:t>
            </w:r>
            <w:r>
              <w:rPr>
                <w:rFonts w:hint="eastAsia"/>
                <w:szCs w:val="21"/>
              </w:rPr>
              <w:t xml:space="preserve">、</w:t>
            </w:r>
            <w:r>
              <w:rPr>
                <w:rFonts w:hint="eastAsia"/>
                <w:szCs w:val="21"/>
              </w:rPr>
              <w:t xml:space="preserve">SQL_Server</w:t>
            </w:r>
            <w:r>
              <w:rPr>
                <w:rFonts w:hint="eastAsia"/>
                <w:szCs w:val="21"/>
              </w:rPr>
              <w:t xml:space="preserve">、</w:t>
            </w:r>
            <w:r>
              <w:rPr>
                <w:rFonts w:hint="eastAsia"/>
                <w:szCs w:val="21"/>
              </w:rPr>
              <w:t xml:space="preserve">Exchange</w:t>
            </w:r>
            <w:r>
              <w:rPr>
                <w:rFonts w:hint="eastAsia"/>
                <w:szCs w:val="21"/>
              </w:rPr>
              <w:t xml:space="preserve">、</w:t>
            </w:r>
            <w:r>
              <w:rPr>
                <w:rFonts w:hint="eastAsia"/>
                <w:szCs w:val="21"/>
              </w:rPr>
              <w:t xml:space="preserve">Sybase</w:t>
            </w:r>
            <w:r>
              <w:rPr>
                <w:rFonts w:hint="eastAsia"/>
                <w:szCs w:val="21"/>
              </w:rPr>
              <w:t xml:space="preserve">、人大金仓、</w:t>
            </w:r>
            <w:r>
              <w:rPr>
                <w:rFonts w:hint="eastAsia"/>
                <w:szCs w:val="21"/>
              </w:rPr>
              <w:t xml:space="preserve">SAP HANA</w:t>
            </w:r>
            <w:r>
              <w:rPr>
                <w:rFonts w:hint="eastAsia"/>
                <w:szCs w:val="21"/>
              </w:rPr>
              <w:t xml:space="preserve">、</w:t>
            </w:r>
            <w:r>
              <w:rPr>
                <w:rFonts w:hint="eastAsia"/>
                <w:szCs w:val="21"/>
              </w:rPr>
              <w:t xml:space="preserve">Cache</w:t>
            </w:r>
            <w:r>
              <w:rPr>
                <w:rFonts w:hint="eastAsia"/>
                <w:szCs w:val="21"/>
              </w:rPr>
              <w:t xml:space="preserve">等多种数据库或应用数据进行在线实时备份保护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★支持至少两种数据比较方式，能够帮助用户比较备份的数据和源端数据的一致性</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支持备端可过滤源端删除动作，可秒级数据找回功能，而不需要定位数据误删时间</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支持数据复制备份中的正则表达式，支持文件名大小写转换，格式变化等</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业务连续性功能要求</w:t>
            </w:r>
            <w:r/>
          </w:p>
        </w:tc>
        <w:tc>
          <w:tcPr>
            <w:tcW w:w="7230" w:type="dxa"/>
            <w:vAlign w:val="center"/>
            <w:textDirection w:val="lrTb"/>
            <w:noWrap w:val="false"/>
          </w:tcPr>
          <w:p>
            <w:pPr>
              <w:rPr>
                <w:szCs w:val="21"/>
              </w:rPr>
            </w:pPr>
            <w:r>
              <w:rPr>
                <w:rFonts w:hint="eastAsia"/>
                <w:szCs w:val="21"/>
              </w:rPr>
              <w:t xml:space="preserve">★支持高可用组，切换过程中组内的高可用规则按阶段顺序串行或并行切换</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灾备端应用程序、数据和生产机保持一致</w:t>
            </w:r>
            <w:r>
              <w:rPr>
                <w:rFonts w:hint="eastAsia"/>
                <w:szCs w:val="21"/>
              </w:rPr>
              <w:t xml:space="preserve">,</w:t>
            </w:r>
            <w:r>
              <w:rPr>
                <w:rFonts w:hint="eastAsia"/>
                <w:szCs w:val="21"/>
              </w:rPr>
              <w:t xml:space="preserve">直接可用</w:t>
            </w:r>
            <w:r>
              <w:rPr>
                <w:rFonts w:hint="eastAsia"/>
                <w:szCs w:val="21"/>
              </w:rPr>
              <w:t xml:space="preserve">,</w:t>
            </w:r>
            <w:r>
              <w:rPr>
                <w:rFonts w:hint="eastAsia"/>
                <w:szCs w:val="21"/>
              </w:rPr>
              <w:t xml:space="preserve">无须数据还原</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能够在线监测生产机主机、网络、系统进程故障，故障发生后灾备端自动或手动接管</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★灾备端增量数据可自动反向复制到生产端</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支持异地机房间、基于专线或广域网的应用级高可用保护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★提供自定义脚本功能：支持自定义脚本功能，在整个业务切换过程中，能够流程化启动或停止相关应用服务，确保切换后业务系统对外提供服务</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业务连续性技术要求</w:t>
            </w:r>
            <w:r/>
          </w:p>
        </w:tc>
        <w:tc>
          <w:tcPr>
            <w:tcW w:w="7230" w:type="dxa"/>
            <w:vAlign w:val="center"/>
            <w:textDirection w:val="lrTb"/>
            <w:noWrap w:val="false"/>
          </w:tcPr>
          <w:p>
            <w:pPr>
              <w:rPr>
                <w:szCs w:val="21"/>
              </w:rPr>
            </w:pPr>
            <w:r>
              <w:rPr>
                <w:rFonts w:hint="eastAsia"/>
                <w:szCs w:val="21"/>
              </w:rPr>
              <w:t xml:space="preserve">基于主机操作系统文件系统字节级实时数据复制，被保护数据目录下捕获每笔写</w:t>
            </w:r>
            <w:r>
              <w:rPr>
                <w:rFonts w:hint="eastAsia"/>
                <w:szCs w:val="21"/>
              </w:rPr>
              <w:t xml:space="preserve">I/O</w:t>
            </w:r>
            <w:r>
              <w:rPr>
                <w:rFonts w:hint="eastAsia"/>
                <w:szCs w:val="21"/>
              </w:rPr>
              <w:t xml:space="preserve">变化进行实时传输</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支持数据复制时指定文件或目录复制，支持按文件后缀排除过滤</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软件提供流控功能，支持基于日期、时间的策略</w:t>
            </w:r>
            <w:r>
              <w:rPr>
                <w:rFonts w:hint="eastAsia"/>
                <w:szCs w:val="21"/>
              </w:rPr>
              <w:t xml:space="preserve">, </w:t>
            </w:r>
            <w:r>
              <w:rPr>
                <w:rFonts w:hint="eastAsia"/>
                <w:szCs w:val="21"/>
              </w:rPr>
              <w:t xml:space="preserve">数据传输过程中可限速减轻生产网络压力</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支持选择性配置策略</w:t>
            </w:r>
            <w:r>
              <w:rPr>
                <w:rFonts w:hint="eastAsia"/>
                <w:szCs w:val="21"/>
              </w:rPr>
              <w:t xml:space="preserve">, </w:t>
            </w:r>
            <w:r>
              <w:rPr>
                <w:rFonts w:hint="eastAsia"/>
                <w:szCs w:val="21"/>
              </w:rPr>
              <w:t xml:space="preserve">可忽略文件或目录，避免无效数据占用带宽资源</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支持断点续传</w:t>
            </w:r>
            <w:r>
              <w:rPr>
                <w:rFonts w:hint="eastAsia"/>
                <w:szCs w:val="21"/>
              </w:rPr>
              <w:t xml:space="preserve">,</w:t>
            </w:r>
            <w:r>
              <w:rPr>
                <w:rFonts w:hint="eastAsia"/>
                <w:szCs w:val="21"/>
              </w:rPr>
              <w:t xml:space="preserve">网络中断或灾备端不可达等异常情况</w:t>
            </w:r>
            <w:r>
              <w:rPr>
                <w:rFonts w:hint="eastAsia"/>
                <w:szCs w:val="21"/>
              </w:rPr>
              <w:t xml:space="preserve">,</w:t>
            </w:r>
            <w:r>
              <w:rPr>
                <w:rFonts w:hint="eastAsia"/>
                <w:szCs w:val="21"/>
              </w:rPr>
              <w:t xml:space="preserve">恢复后支持断点续传</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支持复制作业多线程并行传输，提供数据传输效率</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支持数据镜像多种校验方式，严格校验、时间校验等</w:t>
            </w:r>
            <w:r>
              <w:rPr>
                <w:rFonts w:hint="eastAsia"/>
                <w:szCs w:val="21"/>
              </w:rPr>
              <w:t xml:space="preserve"> </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高可用数据传输过程可加密（</w:t>
            </w:r>
            <w:r>
              <w:rPr>
                <w:rFonts w:hint="eastAsia"/>
                <w:szCs w:val="21"/>
              </w:rPr>
              <w:t xml:space="preserve">AES/SM4) </w:t>
            </w:r>
            <w:r>
              <w:rPr>
                <w:rFonts w:hint="eastAsia"/>
                <w:szCs w:val="21"/>
              </w:rPr>
              <w:t xml:space="preserve">和压缩</w:t>
            </w:r>
            <w:r/>
          </w:p>
        </w:tc>
      </w:tr>
      <w:tr>
        <w:trPr>
          <w:jc w:val="center"/>
        </w:trPr>
        <w:tc>
          <w:tcPr>
            <w:tcW w:w="1276" w:type="dxa"/>
            <w:vAlign w:val="center"/>
            <w:vMerge w:val="restart"/>
            <w:textDirection w:val="lrTb"/>
            <w:noWrap w:val="false"/>
          </w:tcPr>
          <w:p>
            <w:pPr>
              <w:jc w:val="center"/>
              <w:rPr>
                <w:szCs w:val="21"/>
              </w:rPr>
            </w:pPr>
            <w:r>
              <w:rPr>
                <w:rFonts w:hint="eastAsia"/>
                <w:szCs w:val="21"/>
              </w:rPr>
              <w:t xml:space="preserve">业务连续性兼容性要求</w:t>
            </w:r>
            <w:r/>
          </w:p>
        </w:tc>
        <w:tc>
          <w:tcPr>
            <w:tcW w:w="7230" w:type="dxa"/>
            <w:vAlign w:val="center"/>
            <w:textDirection w:val="lrTb"/>
            <w:noWrap w:val="false"/>
          </w:tcPr>
          <w:p>
            <w:pPr>
              <w:rPr>
                <w:szCs w:val="21"/>
              </w:rPr>
            </w:pPr>
            <w:r>
              <w:rPr>
                <w:rFonts w:hint="eastAsia"/>
                <w:szCs w:val="21"/>
              </w:rPr>
              <w:t xml:space="preserve">支持异构虚拟化平台之间、</w:t>
            </w:r>
            <w:r>
              <w:rPr>
                <w:rFonts w:hint="eastAsia"/>
                <w:szCs w:val="21"/>
              </w:rPr>
              <w:t xml:space="preserve">P2V</w:t>
            </w:r>
            <w:r>
              <w:rPr>
                <w:rFonts w:hint="eastAsia"/>
                <w:szCs w:val="21"/>
              </w:rPr>
              <w:t xml:space="preserve">，</w:t>
            </w:r>
            <w:r>
              <w:rPr>
                <w:rFonts w:hint="eastAsia"/>
                <w:szCs w:val="21"/>
              </w:rPr>
              <w:t xml:space="preserve">V2V</w:t>
            </w:r>
            <w:r>
              <w:rPr>
                <w:rFonts w:hint="eastAsia"/>
                <w:szCs w:val="21"/>
              </w:rPr>
              <w:t xml:space="preserve">，</w:t>
            </w:r>
            <w:r>
              <w:rPr>
                <w:rFonts w:hint="eastAsia"/>
                <w:szCs w:val="21"/>
              </w:rPr>
              <w:t xml:space="preserve">P2P</w:t>
            </w:r>
            <w:r>
              <w:rPr>
                <w:rFonts w:hint="eastAsia"/>
                <w:szCs w:val="21"/>
              </w:rPr>
              <w:t xml:space="preserve">，</w:t>
            </w:r>
            <w:r>
              <w:rPr>
                <w:rFonts w:hint="eastAsia"/>
                <w:szCs w:val="21"/>
              </w:rPr>
              <w:t xml:space="preserve">V2P</w:t>
            </w:r>
            <w:r>
              <w:rPr>
                <w:rFonts w:hint="eastAsia"/>
                <w:szCs w:val="21"/>
              </w:rPr>
              <w:t xml:space="preserve">场景下、基于专线或广域网的数据级灾备复制</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支持主流操作系统（</w:t>
            </w:r>
            <w:r>
              <w:rPr>
                <w:rFonts w:hint="eastAsia"/>
                <w:szCs w:val="21"/>
              </w:rPr>
              <w:t xml:space="preserve">Windows</w:t>
            </w:r>
            <w:r>
              <w:rPr>
                <w:rFonts w:hint="eastAsia"/>
                <w:szCs w:val="21"/>
              </w:rPr>
              <w:t xml:space="preserve">、</w:t>
            </w:r>
            <w:r>
              <w:rPr>
                <w:rFonts w:hint="eastAsia"/>
                <w:szCs w:val="21"/>
              </w:rPr>
              <w:t xml:space="preserve">Linux</w:t>
            </w:r>
            <w:r>
              <w:rPr>
                <w:rFonts w:hint="eastAsia"/>
                <w:szCs w:val="21"/>
              </w:rPr>
              <w:t xml:space="preserve">、麒麟、</w:t>
            </w:r>
            <w:r>
              <w:rPr>
                <w:rFonts w:hint="eastAsia"/>
                <w:szCs w:val="21"/>
              </w:rPr>
              <w:t xml:space="preserve">UOS</w:t>
            </w:r>
            <w:r>
              <w:rPr>
                <w:rFonts w:hint="eastAsia"/>
                <w:szCs w:val="21"/>
              </w:rPr>
              <w:t xml:space="preserve">等平台）</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支持常见应用系统</w:t>
            </w:r>
            <w:r>
              <w:rPr>
                <w:rFonts w:hint="eastAsia"/>
                <w:szCs w:val="21"/>
              </w:rPr>
              <w:t xml:space="preserve">, </w:t>
            </w:r>
            <w:r>
              <w:rPr>
                <w:rFonts w:hint="eastAsia"/>
                <w:szCs w:val="21"/>
              </w:rPr>
              <w:t xml:space="preserve">不限于</w:t>
            </w:r>
            <w:r>
              <w:rPr>
                <w:rFonts w:hint="eastAsia"/>
                <w:szCs w:val="21"/>
              </w:rPr>
              <w:t xml:space="preserve">Oracle</w:t>
            </w:r>
            <w:r>
              <w:rPr>
                <w:rFonts w:hint="eastAsia"/>
                <w:szCs w:val="21"/>
              </w:rPr>
              <w:t xml:space="preserve">、</w:t>
            </w:r>
            <w:r>
              <w:rPr>
                <w:rFonts w:hint="eastAsia"/>
                <w:szCs w:val="21"/>
              </w:rPr>
              <w:t xml:space="preserve">DB2</w:t>
            </w:r>
            <w:r>
              <w:rPr>
                <w:rFonts w:hint="eastAsia"/>
                <w:szCs w:val="21"/>
              </w:rPr>
              <w:t xml:space="preserve">、</w:t>
            </w:r>
            <w:r>
              <w:rPr>
                <w:rFonts w:hint="eastAsia"/>
                <w:szCs w:val="21"/>
              </w:rPr>
              <w:t xml:space="preserve">MySQL</w:t>
            </w:r>
            <w:r>
              <w:rPr>
                <w:rFonts w:hint="eastAsia"/>
                <w:szCs w:val="21"/>
              </w:rPr>
              <w:t xml:space="preserve">、人大金仓、达梦、</w:t>
            </w:r>
            <w:r>
              <w:rPr>
                <w:rFonts w:hint="eastAsia"/>
                <w:szCs w:val="21"/>
              </w:rPr>
              <w:t xml:space="preserve">GaussDB</w:t>
            </w:r>
            <w:r>
              <w:rPr>
                <w:rFonts w:hint="eastAsia"/>
                <w:szCs w:val="21"/>
              </w:rPr>
              <w:t xml:space="preserve">、</w:t>
            </w:r>
            <w:r>
              <w:rPr>
                <w:rFonts w:hint="eastAsia"/>
                <w:szCs w:val="21"/>
              </w:rPr>
              <w:t xml:space="preserve">Informix</w:t>
            </w:r>
            <w:r>
              <w:rPr>
                <w:rFonts w:hint="eastAsia"/>
                <w:szCs w:val="21"/>
              </w:rPr>
              <w:t xml:space="preserve">、</w:t>
            </w:r>
            <w:r>
              <w:rPr>
                <w:rFonts w:hint="eastAsia"/>
                <w:szCs w:val="21"/>
              </w:rPr>
              <w:t xml:space="preserve">SQL_Server</w:t>
            </w:r>
            <w:r>
              <w:rPr>
                <w:rFonts w:hint="eastAsia"/>
                <w:szCs w:val="21"/>
              </w:rPr>
              <w:t xml:space="preserve">、</w:t>
            </w:r>
            <w:r>
              <w:rPr>
                <w:rFonts w:hint="eastAsia"/>
                <w:szCs w:val="21"/>
              </w:rPr>
              <w:t xml:space="preserve">Exchange</w:t>
            </w:r>
            <w:r>
              <w:rPr>
                <w:rFonts w:hint="eastAsia"/>
                <w:szCs w:val="21"/>
              </w:rPr>
              <w:t xml:space="preserve">、</w:t>
            </w:r>
            <w:r>
              <w:rPr>
                <w:rFonts w:hint="eastAsia"/>
                <w:szCs w:val="21"/>
              </w:rPr>
              <w:t xml:space="preserve">Lotus Notes</w:t>
            </w:r>
            <w:r>
              <w:rPr>
                <w:rFonts w:hint="eastAsia"/>
                <w:szCs w:val="21"/>
              </w:rPr>
              <w:t xml:space="preserve">、</w:t>
            </w:r>
            <w:r>
              <w:rPr>
                <w:rFonts w:hint="eastAsia"/>
                <w:szCs w:val="21"/>
              </w:rPr>
              <w:t xml:space="preserve">Sybase ASE</w:t>
            </w:r>
            <w:r>
              <w:rPr>
                <w:rFonts w:hint="eastAsia"/>
                <w:szCs w:val="21"/>
              </w:rPr>
              <w:t xml:space="preserve">等</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全面支持各类虚拟化平台，如</w:t>
            </w:r>
            <w:r>
              <w:rPr>
                <w:rFonts w:hint="eastAsia"/>
                <w:szCs w:val="21"/>
              </w:rPr>
              <w:t xml:space="preserve">Microsoft HyperV</w:t>
            </w:r>
            <w:r>
              <w:rPr>
                <w:rFonts w:hint="eastAsia"/>
                <w:szCs w:val="21"/>
              </w:rPr>
              <w:t xml:space="preserve">、</w:t>
            </w:r>
            <w:r>
              <w:rPr>
                <w:rFonts w:hint="eastAsia"/>
                <w:szCs w:val="21"/>
              </w:rPr>
              <w:t xml:space="preserve">VMware</w:t>
            </w:r>
            <w:r>
              <w:rPr>
                <w:rFonts w:hint="eastAsia"/>
                <w:szCs w:val="21"/>
              </w:rPr>
              <w:t xml:space="preserve">、</w:t>
            </w:r>
            <w:r>
              <w:rPr>
                <w:rFonts w:hint="eastAsia"/>
                <w:szCs w:val="21"/>
              </w:rPr>
              <w:t xml:space="preserve">Citrix</w:t>
            </w:r>
            <w:r>
              <w:rPr>
                <w:rFonts w:hint="eastAsia"/>
                <w:szCs w:val="21"/>
              </w:rPr>
              <w:t xml:space="preserve">、</w:t>
            </w:r>
            <w:r>
              <w:rPr>
                <w:rFonts w:hint="eastAsia"/>
                <w:szCs w:val="21"/>
              </w:rPr>
              <w:t xml:space="preserve">OpenStack</w:t>
            </w:r>
            <w:r>
              <w:rPr>
                <w:rFonts w:hint="eastAsia"/>
                <w:szCs w:val="21"/>
              </w:rPr>
              <w:t xml:space="preserve">等</w:t>
            </w:r>
            <w:r>
              <w:rPr>
                <w:rFonts w:hint="eastAsia"/>
                <w:szCs w:val="21"/>
              </w:rPr>
              <w:t xml:space="preserve">, </w:t>
            </w:r>
            <w:r>
              <w:rPr>
                <w:rFonts w:hint="eastAsia"/>
                <w:szCs w:val="21"/>
              </w:rPr>
              <w:t xml:space="preserve">及国产服务器虚拟化平台如</w:t>
            </w:r>
            <w:r>
              <w:rPr>
                <w:rFonts w:hint="eastAsia"/>
                <w:szCs w:val="21"/>
              </w:rPr>
              <w:t xml:space="preserve">CNware</w:t>
            </w:r>
            <w:r>
              <w:rPr>
                <w:rFonts w:hint="eastAsia"/>
                <w:szCs w:val="21"/>
              </w:rPr>
              <w:t xml:space="preserve">、华为</w:t>
            </w:r>
            <w:r>
              <w:rPr>
                <w:rFonts w:hint="eastAsia"/>
                <w:szCs w:val="21"/>
              </w:rPr>
              <w:t xml:space="preserve">Fusionshpere</w:t>
            </w:r>
            <w:r>
              <w:rPr>
                <w:rFonts w:hint="eastAsia"/>
                <w:szCs w:val="21"/>
              </w:rPr>
              <w:t xml:space="preserve">、华三、联想、曙光、浪潮等</w:t>
            </w:r>
            <w:r/>
          </w:p>
        </w:tc>
      </w:tr>
      <w:tr>
        <w:trPr>
          <w:jc w:val="center"/>
        </w:trPr>
        <w:tc>
          <w:tcPr>
            <w:tcW w:w="1276" w:type="dxa"/>
            <w:vAlign w:val="center"/>
            <w:vMerge w:val="continue"/>
            <w:textDirection w:val="lrTb"/>
            <w:noWrap w:val="false"/>
          </w:tcPr>
          <w:p>
            <w:pPr>
              <w:jc w:val="center"/>
              <w:rPr>
                <w:szCs w:val="21"/>
              </w:rPr>
            </w:pPr>
            <w:r>
              <w:rPr>
                <w:szCs w:val="21"/>
              </w:rPr>
            </w:r>
            <w:r/>
          </w:p>
        </w:tc>
        <w:tc>
          <w:tcPr>
            <w:tcW w:w="7230" w:type="dxa"/>
            <w:vAlign w:val="center"/>
            <w:textDirection w:val="lrTb"/>
            <w:noWrap w:val="false"/>
          </w:tcPr>
          <w:p>
            <w:pPr>
              <w:rPr>
                <w:szCs w:val="21"/>
              </w:rPr>
            </w:pPr>
            <w:r>
              <w:rPr>
                <w:rFonts w:hint="eastAsia"/>
                <w:szCs w:val="21"/>
              </w:rPr>
              <w:t xml:space="preserve">全面支持公有云平台灾备，既能将云平台上的数据进行灾备，也支持以云平台为灾备承载体建立数据灾备平台。支持如阿里云、腾讯云、盛大云、百度云、</w:t>
            </w:r>
            <w:r>
              <w:rPr>
                <w:rFonts w:hint="eastAsia"/>
                <w:szCs w:val="21"/>
              </w:rPr>
              <w:t xml:space="preserve">AWS</w:t>
            </w:r>
            <w:r>
              <w:rPr>
                <w:rFonts w:hint="eastAsia"/>
                <w:szCs w:val="21"/>
              </w:rPr>
              <w:t xml:space="preserve">、</w:t>
            </w:r>
            <w:r>
              <w:rPr>
                <w:rFonts w:hint="eastAsia"/>
                <w:szCs w:val="21"/>
              </w:rPr>
              <w:t xml:space="preserve">Azure</w:t>
            </w:r>
            <w:r>
              <w:rPr>
                <w:rFonts w:hint="eastAsia"/>
                <w:szCs w:val="21"/>
              </w:rPr>
              <w:t xml:space="preserve">、华为云、</w:t>
            </w:r>
            <w:r>
              <w:rPr>
                <w:rFonts w:hint="eastAsia"/>
                <w:szCs w:val="21"/>
              </w:rPr>
              <w:t xml:space="preserve">Ucloud</w:t>
            </w:r>
            <w:r>
              <w:rPr>
                <w:rFonts w:hint="eastAsia"/>
                <w:szCs w:val="21"/>
              </w:rPr>
              <w:t xml:space="preserve">、</w:t>
            </w:r>
            <w:r>
              <w:rPr>
                <w:rFonts w:hint="eastAsia"/>
                <w:szCs w:val="21"/>
              </w:rPr>
              <w:t xml:space="preserve">QingCloud</w:t>
            </w:r>
            <w:r>
              <w:rPr>
                <w:rFonts w:hint="eastAsia"/>
                <w:szCs w:val="21"/>
              </w:rPr>
              <w:t xml:space="preserve">等云平台</w:t>
            </w:r>
            <w:r/>
          </w:p>
        </w:tc>
      </w:tr>
      <w:tr>
        <w:trPr>
          <w:jc w:val="center"/>
        </w:trPr>
        <w:tc>
          <w:tcPr>
            <w:tcW w:w="1276" w:type="dxa"/>
            <w:vAlign w:val="center"/>
            <w:textDirection w:val="lrTb"/>
            <w:noWrap w:val="false"/>
          </w:tcPr>
          <w:p>
            <w:pPr>
              <w:jc w:val="center"/>
              <w:rPr>
                <w:szCs w:val="21"/>
              </w:rPr>
            </w:pPr>
            <w:r>
              <w:rPr>
                <w:rFonts w:hint="eastAsia"/>
                <w:szCs w:val="21"/>
              </w:rPr>
              <w:t xml:space="preserve">服务要求</w:t>
            </w:r>
            <w:r/>
          </w:p>
        </w:tc>
        <w:tc>
          <w:tcPr>
            <w:tcW w:w="7230" w:type="dxa"/>
            <w:vAlign w:val="center"/>
            <w:textDirection w:val="lrTb"/>
            <w:noWrap w:val="false"/>
          </w:tcPr>
          <w:p>
            <w:pPr>
              <w:rPr>
                <w:szCs w:val="21"/>
              </w:rPr>
            </w:pPr>
            <w:r>
              <w:rPr>
                <w:rFonts w:hint="eastAsia"/>
                <w:szCs w:val="21"/>
              </w:rPr>
              <w:t xml:space="preserve">提供</w:t>
            </w:r>
            <w:r>
              <w:rPr>
                <w:rFonts w:hint="eastAsia"/>
                <w:szCs w:val="21"/>
              </w:rPr>
              <w:t xml:space="preserve">5</w:t>
            </w:r>
            <w:r>
              <w:rPr>
                <w:rFonts w:hint="eastAsia"/>
                <w:szCs w:val="21"/>
              </w:rPr>
              <w:t xml:space="preserve">年软硬件原厂质保服务</w:t>
            </w:r>
            <w:r/>
          </w:p>
        </w:tc>
      </w:tr>
    </w:tbl>
    <w:p>
      <w:pPr>
        <w:ind w:firstLine="420"/>
        <w:spacing w:line="360" w:lineRule="auto"/>
        <w:tabs>
          <w:tab w:val="left" w:pos="420" w:leader="none"/>
        </w:tabs>
        <w:rPr>
          <w:rFonts w:ascii="宋体" w:hAnsi="宋体"/>
        </w:rPr>
      </w:pPr>
      <w:r>
        <w:rPr>
          <w:rFonts w:hint="eastAsia" w:ascii="宋体" w:hAnsi="宋体"/>
        </w:rPr>
        <w:t xml:space="preserve">（三）商务条款</w:t>
      </w:r>
      <w:r/>
    </w:p>
    <w:p>
      <w:pPr>
        <w:ind w:firstLine="420"/>
        <w:spacing w:line="360" w:lineRule="auto"/>
        <w:tabs>
          <w:tab w:val="left" w:pos="420" w:leader="none"/>
        </w:tabs>
        <w:rPr>
          <w:rFonts w:ascii="宋体" w:hAnsi="宋体"/>
        </w:rPr>
      </w:pPr>
      <w:r>
        <w:rPr>
          <w:rFonts w:hint="eastAsia" w:ascii="宋体" w:hAnsi="宋体"/>
        </w:rPr>
        <w:t xml:space="preserve">1.交付时间</w:t>
      </w:r>
      <w:r/>
    </w:p>
    <w:p>
      <w:pPr>
        <w:ind w:firstLine="420"/>
        <w:spacing w:line="360" w:lineRule="auto"/>
        <w:tabs>
          <w:tab w:val="left" w:pos="420" w:leader="none"/>
        </w:tabs>
        <w:rPr>
          <w:rFonts w:ascii="宋体" w:hAnsi="宋体"/>
        </w:rPr>
      </w:pPr>
      <w:r>
        <w:rPr>
          <w:rFonts w:hint="eastAsia" w:ascii="宋体" w:hAnsi="宋体"/>
        </w:rPr>
        <w:t xml:space="preserve">自收到采购单位通知后30天内交货及安装、调试完成。</w:t>
      </w:r>
      <w:r/>
    </w:p>
    <w:p>
      <w:pPr>
        <w:ind w:firstLine="420"/>
        <w:spacing w:line="360" w:lineRule="auto"/>
        <w:tabs>
          <w:tab w:val="left" w:pos="420" w:leader="none"/>
        </w:tabs>
        <w:rPr>
          <w:rFonts w:ascii="宋体" w:hAnsi="宋体"/>
        </w:rPr>
      </w:pPr>
      <w:r>
        <w:rPr>
          <w:rFonts w:hint="eastAsia" w:ascii="宋体" w:hAnsi="宋体"/>
        </w:rPr>
        <w:t xml:space="preserve">2.交付地点</w:t>
      </w:r>
      <w:r/>
    </w:p>
    <w:p>
      <w:pPr>
        <w:ind w:firstLine="420"/>
        <w:spacing w:line="360" w:lineRule="auto"/>
        <w:tabs>
          <w:tab w:val="left" w:pos="420" w:leader="none"/>
        </w:tabs>
        <w:rPr>
          <w:rFonts w:ascii="宋体" w:hAnsi="宋体"/>
        </w:rPr>
      </w:pPr>
      <w:r>
        <w:rPr>
          <w:rFonts w:hint="eastAsia" w:ascii="宋体" w:hAnsi="宋体"/>
        </w:rPr>
        <w:t xml:space="preserve">地点：江苏盛泽医院（具体按照采购单位要求）。</w:t>
      </w:r>
      <w:r/>
    </w:p>
    <w:p>
      <w:pPr>
        <w:ind w:firstLine="420"/>
        <w:spacing w:line="360" w:lineRule="auto"/>
        <w:tabs>
          <w:tab w:val="left" w:pos="420" w:leader="none"/>
        </w:tabs>
        <w:rPr>
          <w:rFonts w:ascii="宋体" w:hAnsi="宋体"/>
        </w:rPr>
      </w:pPr>
      <w:r>
        <w:rPr>
          <w:rFonts w:hint="eastAsia" w:ascii="宋体" w:hAnsi="宋体"/>
        </w:rPr>
        <w:t xml:space="preserve">3.付款条件（进度和方式）：按合同约定执行。</w:t>
      </w:r>
      <w:r/>
    </w:p>
    <w:p>
      <w:pPr>
        <w:ind w:firstLine="420"/>
        <w:spacing w:line="360" w:lineRule="auto"/>
        <w:tabs>
          <w:tab w:val="left" w:pos="420" w:leader="none"/>
        </w:tabs>
        <w:rPr>
          <w:rFonts w:ascii="宋体" w:hAnsi="宋体"/>
        </w:rPr>
      </w:pPr>
      <w:r>
        <w:rPr>
          <w:rFonts w:hint="eastAsia" w:ascii="宋体" w:hAnsi="宋体"/>
        </w:rPr>
        <w:t xml:space="preserve">4.免费质保期</w:t>
      </w:r>
      <w:r/>
    </w:p>
    <w:p>
      <w:pPr>
        <w:ind w:firstLine="420"/>
        <w:spacing w:line="360" w:lineRule="auto"/>
        <w:tabs>
          <w:tab w:val="left" w:pos="420" w:leader="none"/>
        </w:tabs>
        <w:rPr>
          <w:rFonts w:ascii="宋体" w:hAnsi="宋体"/>
        </w:rPr>
      </w:pPr>
      <w:r>
        <w:rPr>
          <w:rFonts w:hint="eastAsia"/>
          <w:szCs w:val="21"/>
        </w:rPr>
        <w:t xml:space="preserve">提供软硬件</w:t>
      </w:r>
      <w:r>
        <w:rPr>
          <w:rFonts w:hint="eastAsia"/>
          <w:szCs w:val="21"/>
        </w:rPr>
        <w:t xml:space="preserve">5</w:t>
      </w:r>
      <w:r>
        <w:rPr>
          <w:rFonts w:hint="eastAsia"/>
          <w:szCs w:val="21"/>
        </w:rPr>
        <w:t xml:space="preserve">年原厂质保服务（招标清单参数中另有规定的，按照参数要求）</w:t>
      </w:r>
      <w:r>
        <w:rPr>
          <w:rFonts w:hint="eastAsia" w:ascii="宋体" w:hAnsi="宋体"/>
        </w:rPr>
        <w:t xml:space="preserve">。自验收合格之日起，开始进入质保期。</w:t>
      </w:r>
      <w:r/>
    </w:p>
    <w:p>
      <w:pPr>
        <w:ind w:firstLine="420"/>
        <w:spacing w:line="360" w:lineRule="auto"/>
        <w:tabs>
          <w:tab w:val="left" w:pos="420" w:leader="none"/>
        </w:tabs>
        <w:rPr>
          <w:rFonts w:ascii="宋体" w:hAnsi="宋体"/>
        </w:rPr>
      </w:pPr>
      <w:r>
        <w:rPr>
          <w:rFonts w:hint="eastAsia" w:ascii="宋体" w:hAnsi="宋体"/>
        </w:rPr>
        <w:t xml:space="preserve">5.验收标准</w:t>
      </w:r>
      <w:r/>
    </w:p>
    <w:p>
      <w:pPr>
        <w:ind w:firstLine="420"/>
        <w:spacing w:line="360" w:lineRule="auto"/>
        <w:tabs>
          <w:tab w:val="left" w:pos="420" w:leader="none"/>
        </w:tabs>
        <w:rPr>
          <w:rFonts w:ascii="宋体" w:hAnsi="宋体"/>
        </w:rPr>
      </w:pPr>
      <w:r>
        <w:rPr>
          <w:rFonts w:hint="eastAsia" w:ascii="宋体" w:hAnsi="宋体"/>
        </w:rPr>
        <w:t xml:space="preserve">（1）产品配置必须原厂出厂时全部自带，所有设备外包装箱不得自行拆封，包装箱上所有标签等不得涂改或撕毁，否则甲方有权拒绝验收；</w:t>
      </w:r>
      <w:r/>
    </w:p>
    <w:p>
      <w:pPr>
        <w:ind w:firstLine="420"/>
        <w:spacing w:line="360" w:lineRule="auto"/>
        <w:tabs>
          <w:tab w:val="left" w:pos="420" w:leader="none"/>
        </w:tabs>
        <w:rPr>
          <w:rFonts w:ascii="宋体" w:hAnsi="宋体"/>
        </w:rPr>
      </w:pPr>
      <w:r>
        <w:rPr>
          <w:rFonts w:hint="eastAsia" w:ascii="宋体" w:hAnsi="宋体"/>
        </w:rPr>
        <w:t xml:space="preserve">（2）符合设备本身的规格、技术条件及乙方承诺的其它指标；</w:t>
      </w:r>
      <w:r/>
    </w:p>
    <w:p>
      <w:pPr>
        <w:ind w:firstLine="420"/>
        <w:spacing w:line="360" w:lineRule="auto"/>
        <w:tabs>
          <w:tab w:val="left" w:pos="420" w:leader="none"/>
        </w:tabs>
        <w:rPr>
          <w:rFonts w:ascii="宋体" w:hAnsi="宋体"/>
        </w:rPr>
      </w:pPr>
      <w:r>
        <w:rPr>
          <w:rFonts w:hint="eastAsia" w:ascii="宋体" w:hAnsi="宋体"/>
        </w:rPr>
        <w:t xml:space="preserve">（3）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firstLine="420"/>
        <w:spacing w:line="360" w:lineRule="auto"/>
        <w:tabs>
          <w:tab w:val="left" w:pos="420" w:leader="none"/>
        </w:tabs>
        <w:rPr>
          <w:rFonts w:ascii="宋体" w:hAnsi="宋体"/>
        </w:rPr>
      </w:pPr>
      <w:r>
        <w:rPr>
          <w:rFonts w:hint="eastAsia" w:ascii="宋体" w:hAnsi="宋体"/>
        </w:rPr>
        <w:t xml:space="preserve">6.实施方案</w:t>
      </w:r>
      <w:r/>
    </w:p>
    <w:p>
      <w:pPr>
        <w:ind w:firstLine="420"/>
        <w:spacing w:line="360" w:lineRule="auto"/>
        <w:tabs>
          <w:tab w:val="left" w:pos="420" w:leader="none"/>
        </w:tabs>
        <w:rPr>
          <w:rFonts w:ascii="宋体" w:hAnsi="宋体"/>
        </w:rPr>
      </w:pPr>
      <w:r>
        <w:rPr>
          <w:rFonts w:hint="eastAsia" w:ascii="宋体" w:hAnsi="宋体"/>
        </w:rPr>
        <w:t xml:space="preserve">本项目需配备专业的项目团队并提供明确的货物包装、运输、项目实施等方案以确保本项目能顺利及时地进行与完成。</w:t>
      </w:r>
      <w:r/>
    </w:p>
    <w:p>
      <w:pPr>
        <w:ind w:firstLine="420"/>
        <w:spacing w:line="360" w:lineRule="auto"/>
        <w:tabs>
          <w:tab w:val="left" w:pos="420" w:leader="none"/>
        </w:tabs>
        <w:rPr>
          <w:rFonts w:ascii="宋体" w:hAnsi="宋体"/>
        </w:rPr>
      </w:pPr>
      <w:r>
        <w:rPr>
          <w:rFonts w:hint="eastAsia" w:ascii="宋体" w:hAnsi="宋体"/>
        </w:rPr>
        <w:t xml:space="preserve">7.项目团队</w:t>
      </w:r>
      <w:r/>
    </w:p>
    <w:p>
      <w:pPr>
        <w:ind w:firstLine="420"/>
        <w:spacing w:line="360" w:lineRule="auto"/>
        <w:tabs>
          <w:tab w:val="left" w:pos="420" w:leader="none"/>
        </w:tabs>
        <w:rPr>
          <w:rFonts w:ascii="宋体" w:hAnsi="宋体"/>
        </w:rPr>
      </w:pPr>
      <w:r>
        <w:rPr>
          <w:rFonts w:hint="eastAsia" w:ascii="宋体" w:hAnsi="宋体"/>
        </w:rPr>
        <w:t xml:space="preserve">本项目要求投标人针对本项目配备实施团队：项目经理1名，负责跟踪推进项目工作和问题的协调落实。项目技术负责人1名，负责项目具体实施技术方面工作。项目运维负责人1名，负责项目运维方面工作。除项目经理、项目技术负责人及项目运维负责人外其他实施团队成员不少2人。</w:t>
      </w:r>
      <w:r/>
    </w:p>
    <w:p>
      <w:pPr>
        <w:ind w:firstLine="420"/>
        <w:spacing w:line="360" w:lineRule="auto"/>
        <w:tabs>
          <w:tab w:val="left" w:pos="420" w:leader="none"/>
        </w:tabs>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故障应急预案</w:t>
      </w:r>
      <w:r/>
    </w:p>
    <w:p>
      <w:pPr>
        <w:ind w:firstLine="420"/>
        <w:spacing w:line="360" w:lineRule="auto"/>
        <w:tabs>
          <w:tab w:val="left" w:pos="420" w:leader="none"/>
        </w:tabs>
        <w:rPr>
          <w:rFonts w:ascii="宋体" w:hAnsi="宋体"/>
        </w:rPr>
      </w:pPr>
      <w:r>
        <w:rPr>
          <w:rFonts w:hint="eastAsia" w:ascii="宋体" w:hAnsi="宋体"/>
        </w:rPr>
        <w:t xml:space="preserve">供应商需分析设备有可能出现的重大故障，制定出合理的应急预案。故障应急预案应包括不限于：故障特征假设及分析、处理制度、应急组织与职责、故障应急处置程序及故障报告流程等。</w:t>
      </w:r>
      <w:r/>
    </w:p>
    <w:p>
      <w:pPr>
        <w:ind w:firstLine="420"/>
        <w:spacing w:line="360" w:lineRule="auto"/>
        <w:tabs>
          <w:tab w:val="left" w:pos="420" w:leader="none"/>
        </w:tabs>
        <w:rPr>
          <w:rFonts w:ascii="宋体" w:hAnsi="宋体"/>
        </w:rPr>
      </w:pPr>
      <w:r>
        <w:rPr>
          <w:rFonts w:ascii="宋体" w:hAnsi="宋体"/>
        </w:rPr>
        <w:t xml:space="preserve">9</w:t>
      </w:r>
      <w:r>
        <w:rPr>
          <w:rFonts w:hint="eastAsia" w:ascii="宋体" w:hAnsi="宋体"/>
        </w:rPr>
        <w:t xml:space="preserve">.响应时间</w:t>
      </w:r>
      <w:r/>
    </w:p>
    <w:p>
      <w:pPr>
        <w:ind w:firstLine="420"/>
        <w:spacing w:line="360" w:lineRule="auto"/>
        <w:tabs>
          <w:tab w:val="left" w:pos="420" w:leader="none"/>
        </w:tabs>
        <w:rPr>
          <w:rFonts w:ascii="宋体" w:hAnsi="宋体"/>
        </w:rPr>
      </w:pPr>
      <w:r>
        <w:rPr>
          <w:rFonts w:hint="eastAsia" w:ascii="宋体" w:hAnsi="宋体"/>
        </w:rPr>
        <w:t xml:space="preserve">维护与技术支持：承诺提供专业的技术服务支持，质保期间出现的产品问题，须在1小时内响应，3小时内到达现场，12小时内完成甲方提出维修要求，如在12小时内不能解决问题，应免费用同样品牌、规格或更高的部件更换到位。</w:t>
      </w:r>
      <w:r/>
    </w:p>
    <w:p>
      <w:pPr>
        <w:ind w:firstLine="420"/>
        <w:spacing w:line="360" w:lineRule="auto"/>
        <w:tabs>
          <w:tab w:val="left" w:pos="420" w:leader="none"/>
        </w:tabs>
        <w:rPr>
          <w:rFonts w:ascii="宋体" w:hAnsi="宋体"/>
        </w:rPr>
      </w:pPr>
      <w:r>
        <w:rPr>
          <w:rFonts w:ascii="宋体" w:hAnsi="宋体"/>
        </w:rPr>
        <w:t xml:space="preserve">10</w:t>
      </w:r>
      <w:r>
        <w:rPr>
          <w:rFonts w:hint="eastAsia" w:ascii="宋体" w:hAnsi="宋体"/>
        </w:rPr>
        <w:t xml:space="preserve">.质量要求</w:t>
      </w:r>
      <w:r/>
    </w:p>
    <w:p>
      <w:pPr>
        <w:ind w:firstLine="420"/>
        <w:spacing w:line="360" w:lineRule="auto"/>
        <w:tabs>
          <w:tab w:val="left" w:pos="420" w:leader="none"/>
        </w:tabs>
        <w:rPr>
          <w:rFonts w:ascii="宋体" w:hAnsi="宋体"/>
        </w:rPr>
      </w:pPr>
      <w:r>
        <w:rPr>
          <w:rFonts w:hint="eastAsia" w:ascii="宋体" w:hAnsi="宋体"/>
        </w:rPr>
        <w:t xml:space="preserve">供应商应严格按照招标文件的有关规定提供合格商品，保证货物为全新、未使用的原装正品。供应商提供的所有产品其质量必须符合产品国家标准或行业标准，并符合出厂检验标准。</w:t>
      </w:r>
      <w:r/>
    </w:p>
    <w:p>
      <w:pPr>
        <w:ind w:firstLine="420"/>
        <w:spacing w:line="360" w:lineRule="auto"/>
        <w:tabs>
          <w:tab w:val="left" w:pos="420" w:leader="none"/>
        </w:tabs>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.技术培训</w:t>
      </w:r>
      <w:r/>
    </w:p>
    <w:p>
      <w:pPr>
        <w:ind w:firstLine="420"/>
        <w:spacing w:line="360" w:lineRule="auto"/>
        <w:tabs>
          <w:tab w:val="left" w:pos="420" w:leader="none"/>
        </w:tabs>
        <w:rPr>
          <w:rFonts w:ascii="宋体" w:hAnsi="宋体"/>
        </w:rPr>
      </w:pPr>
      <w:r>
        <w:rPr>
          <w:rFonts w:hint="eastAsia" w:ascii="宋体" w:hAnsi="宋体"/>
        </w:rPr>
        <w:t xml:space="preserve">（1）供应商需提供技术服务热线（7*24小时），负责解答实际使用方在设备使用中遇到的问题，并及时提出解决问题的建议和操作方法；提供7*24小时现场保修和技术支持服务；</w:t>
      </w:r>
      <w:r/>
    </w:p>
    <w:p>
      <w:pPr>
        <w:ind w:firstLine="420"/>
        <w:spacing w:line="360" w:lineRule="auto"/>
        <w:tabs>
          <w:tab w:val="left" w:pos="420" w:leader="none"/>
        </w:tabs>
        <w:rPr>
          <w:rFonts w:ascii="宋体" w:hAnsi="宋体"/>
        </w:rPr>
      </w:pPr>
      <w:r>
        <w:rPr>
          <w:rFonts w:hint="eastAsia" w:ascii="宋体" w:hAnsi="宋体"/>
        </w:rPr>
        <w:t xml:space="preserve">（2）供应商需设立投诉专线，接受实际使用方的投诉；</w:t>
      </w:r>
      <w:r/>
    </w:p>
    <w:p>
      <w:pPr>
        <w:ind w:firstLine="420"/>
        <w:spacing w:line="360" w:lineRule="auto"/>
        <w:tabs>
          <w:tab w:val="left" w:pos="420" w:leader="none"/>
        </w:tabs>
        <w:rPr>
          <w:rFonts w:ascii="宋体" w:hAnsi="宋体"/>
        </w:rPr>
      </w:pPr>
      <w:r>
        <w:rPr>
          <w:rFonts w:hint="eastAsia" w:ascii="宋体" w:hAnsi="宋体"/>
        </w:rPr>
        <w:t xml:space="preserve">（3）供应商需提供系统完整专业的培训计划；</w:t>
      </w:r>
      <w:r/>
    </w:p>
    <w:p>
      <w:pPr>
        <w:ind w:firstLine="420"/>
        <w:spacing w:line="360" w:lineRule="auto"/>
        <w:tabs>
          <w:tab w:val="left" w:pos="420" w:leader="none"/>
        </w:tabs>
        <w:rPr>
          <w:rFonts w:ascii="宋体" w:hAnsi="宋体"/>
        </w:rPr>
      </w:pPr>
      <w:r>
        <w:rPr>
          <w:rFonts w:hint="eastAsia" w:ascii="宋体" w:hAnsi="宋体"/>
        </w:rPr>
        <w:t xml:space="preserve">（4）现场培训：项目安装调试验收结束后，由专业技术工程师进行免费现场技术培训，列出培</w:t>
      </w:r>
      <w:r>
        <w:rPr>
          <w:rFonts w:hint="eastAsia" w:ascii="宋体" w:hAnsi="宋体"/>
        </w:rPr>
        <w:t xml:space="preserve">训计划。</w:t>
      </w:r>
      <w:r/>
    </w:p>
    <w:p>
      <w:pPr>
        <w:ind w:firstLine="420"/>
        <w:spacing w:line="360" w:lineRule="auto"/>
        <w:tabs>
          <w:tab w:val="left" w:pos="420" w:leader="none"/>
        </w:tabs>
        <w:rPr>
          <w:rFonts w:ascii="宋体" w:hAnsi="宋体"/>
        </w:rPr>
      </w:pPr>
      <w:r>
        <w:rPr>
          <w:rFonts w:hint="eastAsia" w:ascii="宋体" w:hAnsi="宋体"/>
        </w:rPr>
        <w:t xml:space="preserve">①基本使操作人员达到能独立进行设备的操作使用；</w:t>
      </w:r>
      <w:r/>
    </w:p>
    <w:p>
      <w:pPr>
        <w:ind w:firstLine="420"/>
        <w:spacing w:line="360" w:lineRule="auto"/>
        <w:tabs>
          <w:tab w:val="left" w:pos="420" w:leader="none"/>
        </w:tabs>
        <w:rPr>
          <w:rFonts w:ascii="宋体" w:hAnsi="宋体"/>
        </w:rPr>
      </w:pPr>
      <w:r>
        <w:rPr>
          <w:rFonts w:hint="eastAsia" w:ascii="宋体" w:hAnsi="宋体"/>
        </w:rPr>
        <w:t xml:space="preserve">②能独立进行设备的日常维护和常见故障的解决。培训费用已包含在设备总价款内。</w:t>
      </w:r>
      <w:r/>
    </w:p>
    <w:p>
      <w:pPr>
        <w:ind w:firstLine="420"/>
        <w:spacing w:line="360" w:lineRule="auto"/>
        <w:tabs>
          <w:tab w:val="left" w:pos="420" w:leader="none"/>
        </w:tabs>
        <w:rPr>
          <w:rFonts w:ascii="宋体" w:hAnsi="宋体"/>
        </w:rPr>
      </w:pPr>
      <w:r>
        <w:rPr>
          <w:rFonts w:hint="eastAsia" w:ascii="宋体" w:hAnsi="宋体"/>
        </w:rPr>
        <w:t xml:space="preserve">（四）履约验收基本要求</w:t>
      </w:r>
      <w:r/>
    </w:p>
    <w:p>
      <w:pPr>
        <w:ind w:firstLine="420"/>
        <w:spacing w:line="360" w:lineRule="auto"/>
        <w:tabs>
          <w:tab w:val="left" w:pos="420" w:leader="none"/>
        </w:tabs>
        <w:rPr>
          <w:rFonts w:ascii="宋体" w:hAnsi="宋体"/>
        </w:rPr>
      </w:pPr>
      <w:r>
        <w:rPr>
          <w:rFonts w:hint="eastAsia" w:ascii="宋体" w:hAnsi="宋体"/>
        </w:rPr>
        <w:t xml:space="preserve">1.采购人将根据《江苏省财政厅关于印发&lt;江苏省政府采购履约验收管理办法&gt;的通知》（苏财规〔2024〕7号）相关要求，组织项目履约验收基本工作。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rPr>
      </w:pPr>
      <w:r>
        <w:rPr>
          <w:rFonts w:hint="eastAsia" w:ascii="宋体" w:hAnsi="宋体"/>
        </w:rPr>
        <w:t xml:space="preserve">2.招标文件、投标文件、政府采购合同等是履约验收工作的重要依据。在政府采购合同约定的履行验收条件达到时，成交供应商可以主动联系采购人启动履约验收工作。</w:t>
      </w:r>
      <w:r/>
    </w:p>
    <w:p>
      <w:pPr>
        <w:ind w:firstLine="420"/>
        <w:spacing w:line="360" w:lineRule="auto"/>
        <w:tabs>
          <w:tab w:val="left" w:pos="420" w:leader="none"/>
        </w:tabs>
        <w:rPr>
          <w:rFonts w:ascii="宋体" w:hAnsi="宋体"/>
        </w:rPr>
      </w:pPr>
      <w:r>
        <w:rPr>
          <w:rFonts w:hint="eastAsia" w:ascii="宋体" w:hAnsi="宋体"/>
        </w:rPr>
        <w:t xml:space="preserve">3.采购人在组织履约验收前，将根据项目特点制定验收方案，明确履约验收的时间、方式、程序等内容。中标单位应根据验收方案内容做好相应配合工作。</w:t>
      </w:r>
      <w:r/>
    </w:p>
    <w:p>
      <w:pPr>
        <w:ind w:firstLine="420"/>
        <w:spacing w:line="360" w:lineRule="auto"/>
        <w:tabs>
          <w:tab w:val="left" w:pos="420" w:leader="none"/>
        </w:tabs>
        <w:rPr>
          <w:rFonts w:hint="eastAsia" w:ascii="宋体" w:hAnsi="宋体"/>
        </w:rPr>
      </w:pPr>
      <w:r>
        <w:rPr>
          <w:rFonts w:hint="eastAsia" w:ascii="宋体" w:hAnsi="宋体"/>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spacing w:line="360" w:lineRule="auto"/>
        <w:tabs>
          <w:tab w:val="left" w:pos="420" w:leader="none"/>
        </w:tabs>
        <w:rPr>
          <w:rFonts w:ascii="宋体" w:hAnsi="宋体"/>
        </w:rPr>
      </w:pPr>
      <w:r>
        <w:rPr>
          <w:rFonts w:hint="eastAsia" w:ascii="宋体" w:hAnsi="宋体" w:cs="宋体"/>
          <w:b/>
        </w:rPr>
        <w:t xml:space="preserve">五、综合说明及其他要求</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firstLine="420"/>
        <w:spacing w:line="360" w:lineRule="auto"/>
        <w:rPr>
          <w:rFonts w:hint="eastAsia" w:ascii="宋体" w:hAnsi="宋体"/>
          <w:szCs w:val="22"/>
        </w:rPr>
      </w:pPr>
      <w:r>
        <w:rPr>
          <w:rFonts w:hint="eastAsia" w:ascii="宋体" w:hAnsi="宋体"/>
          <w:szCs w:val="22"/>
        </w:rPr>
        <w:t xml:space="preserve">4、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60" w:lineRule="auto"/>
        <w:rPr>
          <w:rFonts w:hint="eastAsia" w:ascii="宋体" w:hAnsi="宋体"/>
          <w:szCs w:val="22"/>
        </w:rPr>
      </w:pPr>
      <w:r>
        <w:rPr>
          <w:rFonts w:hint="eastAsia" w:ascii="宋体" w:hAnsi="宋体"/>
          <w:szCs w:val="22"/>
        </w:rPr>
        <w:t xml:space="preserve">5、凡涉及招标文件的补充说明和修改，均以招标代理机构书面通知为准</w:t>
      </w:r>
      <w:r>
        <w:rPr>
          <w:rFonts w:hint="eastAsia" w:ascii="宋体" w:hAnsi="宋体" w:cs="宋体"/>
          <w:szCs w:val="21"/>
        </w:rPr>
        <w:t xml:space="preserve">。</w:t>
      </w:r>
      <w:r/>
    </w:p>
    <w:p>
      <w:pPr>
        <w:spacing w:line="360" w:lineRule="auto"/>
        <w:rPr>
          <w:rFonts w:ascii="宋体" w:hAnsi="宋体"/>
          <w:szCs w:val="22"/>
        </w:rPr>
      </w:pPr>
      <w:r>
        <w:rPr>
          <w:rFonts w:hint="eastAsia" w:ascii="宋体" w:hAnsi="宋体" w:cs="宋体"/>
          <w:b/>
          <w:szCs w:val="21"/>
        </w:rPr>
        <w:t xml:space="preserve">六、</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w:t>
      </w:r>
      <w:r>
        <w:rPr>
          <w:rFonts w:hint="eastAsia" w:ascii="宋体" w:hAnsi="宋体"/>
          <w:szCs w:val="21"/>
        </w:rPr>
        <w:t xml:space="preserve">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w:t>
      </w:r>
      <w:r>
        <w:rPr>
          <w:rFonts w:hint="eastAsia" w:ascii="宋体" w:hAnsi="宋体" w:cs="宋体"/>
          <w:szCs w:val="21"/>
        </w:rPr>
        <w:t xml:space="preserve">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1"/>
      <w:r/>
      <w:r/>
    </w:p>
    <w:p>
      <w:pPr>
        <w:ind w:firstLine="883"/>
        <w:jc w:val="center"/>
        <w:pageBreakBefore/>
        <w:rPr>
          <w:rFonts w:ascii="宋体" w:hAnsi="宋体"/>
          <w:b/>
          <w:sz w:val="44"/>
        </w:rPr>
      </w:pPr>
      <w:r>
        <w:rPr>
          <w:rFonts w:hint="eastAsia" w:ascii="宋体" w:hAnsi="宋体"/>
          <w:b/>
          <w:sz w:val="44"/>
        </w:rPr>
        <w:t xml:space="preserve">第五章合同一般条款</w:t>
      </w:r>
      <w:bookmarkStart w:id="62" w:name="_Toc13543213"/>
      <w:r/>
      <w:r/>
    </w:p>
    <w:p>
      <w:pPr>
        <w:spacing w:line="360" w:lineRule="auto"/>
        <w:rPr>
          <w:rFonts w:ascii="宋体" w:hAnsi="宋体"/>
          <w:b/>
          <w:szCs w:val="21"/>
        </w:rPr>
      </w:pPr>
      <w:r/>
      <w:bookmarkStart w:id="63" w:name="_Toc13642117"/>
      <w:r/>
      <w:bookmarkStart w:id="64" w:name="_Toc13889377"/>
      <w:r/>
      <w:bookmarkEnd w:id="62"/>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65" w:name="_Toc13543214"/>
      <w:r>
        <w:rPr>
          <w:rFonts w:hint="eastAsia" w:ascii="宋体" w:hAnsi="宋体"/>
          <w:b/>
          <w:szCs w:val="21"/>
        </w:rPr>
        <w:t xml:space="preserve">二、标的物的一般条款</w:t>
      </w:r>
      <w:bookmarkEnd w:id="65"/>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4"/>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6" w:name="_Toc13543215"/>
      <w:r>
        <w:rPr>
          <w:rFonts w:hint="eastAsia" w:ascii="宋体" w:hAnsi="宋体"/>
          <w:b/>
          <w:szCs w:val="21"/>
        </w:rPr>
        <w:t xml:space="preserve">三、标的物的交付、检验和验收</w:t>
      </w:r>
      <w:bookmarkEnd w:id="6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67" w:name="_Toc13543216"/>
      <w:r>
        <w:rPr>
          <w:rFonts w:hint="eastAsia" w:ascii="宋体" w:hAnsi="宋体"/>
          <w:b/>
          <w:szCs w:val="21"/>
        </w:rPr>
        <w:t xml:space="preserve">四、对标的物提出异议的时间和办法</w:t>
      </w:r>
      <w:bookmarkEnd w:id="6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68" w:name="_Toc13543217"/>
      <w:r>
        <w:rPr>
          <w:rFonts w:hint="eastAsia" w:ascii="宋体" w:hAnsi="宋体"/>
          <w:b/>
          <w:szCs w:val="21"/>
        </w:rPr>
        <w:t xml:space="preserve">五、合同价款和支付</w:t>
      </w:r>
      <w:bookmarkEnd w:id="6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9" w:name="_Toc13543218"/>
      <w:r>
        <w:rPr>
          <w:rFonts w:hint="eastAsia" w:ascii="宋体" w:hAnsi="宋体"/>
          <w:b/>
          <w:szCs w:val="21"/>
        </w:rPr>
        <w:t xml:space="preserve">六、违约责任</w:t>
      </w:r>
      <w:bookmarkEnd w:id="6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使用的，甲方有权解除合同，乙方必须承担甲方由此引起的一切额外损失（包括但不限于货物差价、运输费用、设备闲置及其他赔偿要求），赔偿金额不低于合同价格。</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货并应按照逾期交货部分货款的每天千分之四支付逾期交货违约金，同时承担甲方因此遭致的损失费用。甲方原因引起的交货期延误甲方应予以顺延交货期，但甲方不承担乙方因此可能发生的任何经济损失。</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正常使用。但在质量保证期限内，已使用的标的物被证明不符合合同规定的要求，则甲方有权选择下列一种方法追究乙方的违约责任：</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51.4.1另行采购相应标的物、运输、安装调试等所发生的一切费用均由乙方承担，乙方并应赔偿甲方的其他损失。</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51.4.2乙方向甲方一次性赔偿相当于被证明不符合合同规定批次标的物价款的300%的赔偿金。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70" w:name="_Toc13543219"/>
      <w:r>
        <w:rPr>
          <w:rFonts w:hint="eastAsia" w:ascii="宋体" w:hAnsi="宋体"/>
          <w:b/>
          <w:szCs w:val="21"/>
        </w:rPr>
        <w:t xml:space="preserve">七、索赔</w:t>
      </w:r>
      <w:bookmarkEnd w:id="70"/>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71" w:name="_Toc13543220"/>
      <w:r>
        <w:rPr>
          <w:rFonts w:hint="eastAsia" w:ascii="宋体" w:hAnsi="宋体"/>
          <w:b/>
          <w:szCs w:val="21"/>
        </w:rPr>
        <w:t xml:space="preserve">八、履约保证金</w:t>
      </w:r>
      <w:bookmarkEnd w:id="71"/>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履约保证金：按合同约定执行。</w:t>
      </w:r>
      <w:r/>
    </w:p>
    <w:p>
      <w:pPr>
        <w:spacing w:line="360" w:lineRule="auto"/>
        <w:rPr>
          <w:rFonts w:ascii="宋体" w:hAnsi="宋体"/>
          <w:b/>
          <w:szCs w:val="21"/>
        </w:rPr>
      </w:pPr>
      <w:r/>
      <w:bookmarkStart w:id="72" w:name="_Toc13543221"/>
      <w:r>
        <w:rPr>
          <w:rFonts w:hint="eastAsia" w:ascii="宋体" w:hAnsi="宋体"/>
          <w:b/>
          <w:szCs w:val="21"/>
        </w:rPr>
        <w:t xml:space="preserve">九、合同的解除和转让</w:t>
      </w:r>
      <w:bookmarkEnd w:id="7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3" w:name="_Toc13543222"/>
      <w:r>
        <w:rPr>
          <w:rFonts w:hint="eastAsia" w:ascii="宋体" w:hAnsi="宋体"/>
          <w:b/>
          <w:szCs w:val="21"/>
        </w:rPr>
        <w:t xml:space="preserve">十、合同的生效</w:t>
      </w:r>
      <w:bookmarkEnd w:id="7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4"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7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75" w:name="_Toc13543224"/>
      <w:r/>
      <w:r/>
    </w:p>
    <w:p>
      <w:pPr>
        <w:spacing w:line="360" w:lineRule="auto"/>
        <w:rPr>
          <w:rFonts w:ascii="宋体" w:hAnsi="宋体"/>
          <w:b/>
          <w:szCs w:val="21"/>
        </w:rPr>
      </w:pPr>
      <w:r>
        <w:rPr>
          <w:rFonts w:hint="eastAsia" w:ascii="宋体" w:hAnsi="宋体"/>
          <w:b/>
          <w:szCs w:val="21"/>
        </w:rPr>
        <w:t xml:space="preserve">十二、附则</w:t>
      </w:r>
      <w:bookmarkEnd w:id="7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本合同一式陆份，甲方肆份，乙方壹份、招标代理机构执壹份。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29"/>
        <w:ind w:left="422" w:firstLine="420"/>
        <w:rPr>
          <w:rFonts w:ascii="宋体" w:hAnsi="宋体"/>
          <w:b/>
          <w:bCs/>
          <w:sz w:val="21"/>
          <w:szCs w:val="21"/>
        </w:rPr>
      </w:pPr>
      <w:r>
        <w:rPr>
          <w:rFonts w:ascii="宋体" w:hAnsi="宋体"/>
          <w:b/>
          <w:bCs/>
          <w:sz w:val="21"/>
          <w:szCs w:val="21"/>
        </w:rPr>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pStyle w:val="928"/>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63"/>
      <w:r/>
      <w:bookmarkEnd w:id="64"/>
      <w:r/>
      <w:r/>
    </w:p>
    <w:p>
      <w:pPr>
        <w:ind w:firstLine="422"/>
        <w:jc w:val="left"/>
        <w:spacing w:line="360" w:lineRule="auto"/>
        <w:rPr>
          <w:rFonts w:ascii="宋体" w:hAnsi="宋体" w:cs="宋体"/>
          <w:b/>
          <w:szCs w:val="21"/>
        </w:rPr>
      </w:pPr>
      <w:r>
        <w:rPr>
          <w:rFonts w:hint="eastAsia" w:ascii="宋体" w:hAnsi="宋体" w:cs="宋体"/>
          <w:b/>
          <w:szCs w:val="21"/>
        </w:rPr>
        <w:t xml:space="preserve">招标编号：</w:t>
      </w:r>
      <w:r/>
    </w:p>
    <w:p>
      <w:pPr>
        <w:ind w:firstLine="422"/>
        <w:jc w:val="left"/>
        <w:spacing w:line="360" w:lineRule="auto"/>
        <w:rPr>
          <w:rFonts w:ascii="宋体" w:hAnsi="宋体" w:cs="宋体"/>
          <w:b/>
          <w:szCs w:val="21"/>
        </w:rPr>
      </w:pPr>
      <w:r>
        <w:rPr>
          <w:rFonts w:hint="eastAsia" w:ascii="宋体" w:hAnsi="宋体" w:cs="宋体"/>
          <w:b/>
          <w:szCs w:val="21"/>
        </w:rPr>
        <w:t xml:space="preserve">甲方 ：江苏盛泽医院</w:t>
      </w:r>
      <w:r/>
    </w:p>
    <w:p>
      <w:pPr>
        <w:ind w:firstLine="420"/>
        <w:jc w:val="left"/>
        <w:spacing w:line="360" w:lineRule="auto"/>
        <w:rPr>
          <w:rFonts w:ascii="宋体" w:hAnsi="宋体" w:cs="宋体"/>
          <w:bCs/>
          <w:szCs w:val="21"/>
        </w:rPr>
      </w:pPr>
      <w:r>
        <w:rPr>
          <w:rFonts w:hint="eastAsia" w:ascii="宋体" w:hAnsi="宋体" w:cs="宋体"/>
          <w:bCs/>
          <w:szCs w:val="21"/>
        </w:rPr>
        <w:t xml:space="preserve">联系人：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  </w:t>
      </w:r>
      <w:r/>
    </w:p>
    <w:p>
      <w:pPr>
        <w:ind w:firstLine="420"/>
        <w:jc w:val="left"/>
        <w:spacing w:line="360" w:lineRule="auto"/>
        <w:rPr>
          <w:rFonts w:ascii="宋体" w:hAnsi="宋体" w:cs="宋体"/>
          <w:bCs/>
          <w:szCs w:val="21"/>
        </w:rPr>
      </w:pPr>
      <w:r>
        <w:rPr>
          <w:rFonts w:hint="eastAsia" w:ascii="宋体" w:hAnsi="宋体" w:cs="宋体"/>
          <w:bCs/>
          <w:szCs w:val="21"/>
        </w:rPr>
        <w:t xml:space="preserve">地址：  </w:t>
      </w:r>
      <w:r/>
    </w:p>
    <w:p>
      <w:pPr>
        <w:ind w:firstLine="422"/>
        <w:jc w:val="left"/>
        <w:spacing w:line="360" w:lineRule="auto"/>
        <w:rPr>
          <w:rFonts w:ascii="宋体" w:hAnsi="宋体" w:cs="宋体"/>
          <w:bCs/>
          <w:szCs w:val="21"/>
        </w:rPr>
      </w:pPr>
      <w:r>
        <w:rPr>
          <w:rFonts w:hint="eastAsia" w:ascii="宋体" w:hAnsi="宋体" w:cs="宋体"/>
          <w:b/>
          <w:szCs w:val="21"/>
        </w:rPr>
        <w:t xml:space="preserve">乙方 ：</w:t>
      </w:r>
      <w:r/>
    </w:p>
    <w:p>
      <w:pPr>
        <w:ind w:firstLine="420"/>
        <w:jc w:val="left"/>
        <w:spacing w:line="360" w:lineRule="auto"/>
        <w:rPr>
          <w:rFonts w:ascii="宋体" w:hAnsi="宋体" w:cs="宋体"/>
          <w:bCs/>
          <w:szCs w:val="21"/>
        </w:rPr>
      </w:pPr>
      <w:r>
        <w:rPr>
          <w:rFonts w:hint="eastAsia" w:ascii="宋体" w:hAnsi="宋体" w:cs="宋体"/>
          <w:bCs/>
          <w:szCs w:val="21"/>
        </w:rPr>
        <w:t xml:space="preserve">联系人：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 </w:t>
      </w:r>
      <w:r/>
    </w:p>
    <w:p>
      <w:pPr>
        <w:ind w:right="31" w:firstLine="420"/>
        <w:jc w:val="left"/>
        <w:spacing w:line="360" w:lineRule="auto"/>
      </w:pPr>
      <w:r>
        <w:rPr>
          <w:rFonts w:hint="eastAsia" w:ascii="宋体" w:hAnsi="宋体" w:cs="宋体"/>
          <w:bCs/>
          <w:szCs w:val="21"/>
        </w:rPr>
        <w:t xml:space="preserve">地址： </w:t>
      </w:r>
      <w:r/>
    </w:p>
    <w:p>
      <w:pPr>
        <w:ind w:firstLine="420"/>
        <w:spacing w:line="360" w:lineRule="auto"/>
        <w:rPr>
          <w:rFonts w:ascii="宋体" w:hAnsi="宋体"/>
          <w:szCs w:val="21"/>
          <w:u w:val="single"/>
        </w:rPr>
      </w:pPr>
      <w:r>
        <w:rPr>
          <w:rFonts w:hint="eastAsia" w:ascii="宋体" w:hAnsi="宋体"/>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ascii="宋体" w:hAnsi="宋体"/>
          <w:szCs w:val="21"/>
          <w:u w:val="single"/>
        </w:rPr>
      </w:pPr>
      <w:r>
        <w:rPr>
          <w:rFonts w:hint="eastAsia" w:ascii="宋体" w:hAnsi="宋体"/>
          <w:b/>
        </w:rPr>
        <w:t xml:space="preserve">一、定义：以下术语有特定的含义：</w:t>
      </w:r>
      <w:r/>
    </w:p>
    <w:p>
      <w:pPr>
        <w:ind w:firstLine="420"/>
        <w:spacing w:line="360" w:lineRule="auto"/>
        <w:rPr>
          <w:rFonts w:ascii="宋体" w:hAnsi="宋体"/>
          <w:szCs w:val="21"/>
          <w:u w:val="single"/>
        </w:rPr>
      </w:pPr>
      <w:r>
        <w:rPr>
          <w:rFonts w:hint="eastAsia" w:ascii="宋体" w:hAnsi="宋体"/>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szCs w:val="21"/>
          <w:u w:val="single"/>
        </w:rPr>
      </w:pPr>
      <w:r>
        <w:rPr>
          <w:rFonts w:hint="eastAsia" w:ascii="宋体" w:hAnsi="宋体"/>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ascii="宋体" w:hAnsi="宋体"/>
          <w:szCs w:val="21"/>
          <w:u w:val="single"/>
        </w:rPr>
      </w:pPr>
      <w:r>
        <w:rPr>
          <w:rFonts w:hint="eastAsia" w:ascii="宋体" w:hAnsi="宋体"/>
        </w:rPr>
        <w:t xml:space="preserve">合同价是指根据中标的投标文件和合同规定，乙方在正确地履行合同义务后甲方应支付给乙方的价款。</w:t>
      </w:r>
      <w:r/>
    </w:p>
    <w:p>
      <w:pPr>
        <w:ind w:firstLine="420"/>
        <w:spacing w:line="360" w:lineRule="auto"/>
        <w:rPr>
          <w:rFonts w:ascii="宋体" w:hAnsi="宋体"/>
          <w:szCs w:val="21"/>
          <w:u w:val="single"/>
        </w:rPr>
      </w:pPr>
      <w:r>
        <w:rPr>
          <w:rFonts w:hint="eastAsia" w:ascii="宋体" w:hAnsi="宋体"/>
        </w:rPr>
        <w:t xml:space="preserve">甲方是指合同中明确规定的实际购买货物和接受服务的单位。</w:t>
      </w:r>
      <w:r/>
    </w:p>
    <w:p>
      <w:pPr>
        <w:ind w:firstLine="420"/>
        <w:spacing w:line="360" w:lineRule="auto"/>
        <w:rPr>
          <w:rFonts w:ascii="宋体" w:hAnsi="宋体"/>
          <w:szCs w:val="21"/>
          <w:u w:val="single"/>
        </w:rPr>
      </w:pPr>
      <w:r>
        <w:rPr>
          <w:rFonts w:hint="eastAsia" w:ascii="宋体" w:hAnsi="宋体"/>
        </w:rPr>
        <w:t xml:space="preserve">乙方是指合同中规定的提供货物和提供服务的单位。</w:t>
      </w:r>
      <w:r/>
    </w:p>
    <w:p>
      <w:pPr>
        <w:ind w:firstLine="420"/>
        <w:spacing w:line="360" w:lineRule="auto"/>
        <w:rPr>
          <w:rFonts w:ascii="宋体" w:hAnsi="宋体"/>
          <w:szCs w:val="21"/>
          <w:u w:val="single"/>
        </w:rPr>
      </w:pPr>
      <w:r>
        <w:rPr>
          <w:rFonts w:hint="eastAsia" w:ascii="宋体" w:hAnsi="宋体"/>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szCs w:val="21"/>
          <w:u w:val="single"/>
        </w:rPr>
      </w:pPr>
      <w:r>
        <w:rPr>
          <w:rFonts w:hint="eastAsia" w:ascii="宋体" w:hAnsi="宋体"/>
          <w:b/>
        </w:rPr>
        <w:t xml:space="preserve">二、合同标的：</w:t>
      </w:r>
      <w:r/>
    </w:p>
    <w:tbl>
      <w:tblPr>
        <w:tblW w:w="89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455"/>
        <w:gridCol w:w="1350"/>
        <w:gridCol w:w="1417"/>
        <w:gridCol w:w="1566"/>
        <w:gridCol w:w="1442"/>
      </w:tblGrid>
      <w:tr>
        <w:trPr/>
        <w:tc>
          <w:tcPr>
            <w:tcW w:w="704" w:type="dxa"/>
            <w:textDirection w:val="lrTb"/>
            <w:noWrap w:val="false"/>
          </w:tcPr>
          <w:p>
            <w:pPr>
              <w:jc w:val="center"/>
              <w:spacing w:line="360" w:lineRule="auto"/>
              <w:rPr>
                <w:rFonts w:ascii="宋体" w:hAnsi="宋体"/>
              </w:rPr>
            </w:pPr>
            <w:r>
              <w:rPr>
                <w:rFonts w:hint="eastAsia" w:ascii="宋体" w:hAnsi="宋体"/>
              </w:rPr>
              <w:t xml:space="preserve">序号</w:t>
            </w:r>
            <w:r/>
          </w:p>
        </w:tc>
        <w:tc>
          <w:tcPr>
            <w:tcW w:w="2455" w:type="dxa"/>
            <w:textDirection w:val="lrTb"/>
            <w:noWrap w:val="false"/>
          </w:tcPr>
          <w:p>
            <w:pPr>
              <w:jc w:val="center"/>
              <w:spacing w:line="360" w:lineRule="auto"/>
              <w:rPr>
                <w:rFonts w:ascii="宋体" w:hAnsi="宋体"/>
              </w:rPr>
            </w:pPr>
            <w:r>
              <w:rPr>
                <w:rFonts w:hint="eastAsia" w:ascii="宋体" w:hAnsi="宋体"/>
              </w:rPr>
              <w:t xml:space="preserve">货物（服务）名称</w:t>
            </w:r>
            <w:r/>
          </w:p>
        </w:tc>
        <w:tc>
          <w:tcPr>
            <w:tcW w:w="1350" w:type="dxa"/>
            <w:textDirection w:val="lrTb"/>
            <w:noWrap w:val="false"/>
          </w:tcPr>
          <w:p>
            <w:pPr>
              <w:jc w:val="center"/>
              <w:spacing w:line="360" w:lineRule="auto"/>
              <w:rPr>
                <w:rFonts w:ascii="宋体" w:hAnsi="宋体"/>
              </w:rPr>
            </w:pPr>
            <w:r>
              <w:rPr>
                <w:rFonts w:hint="eastAsia" w:ascii="宋体" w:hAnsi="宋体"/>
              </w:rPr>
              <w:t xml:space="preserve">品牌</w:t>
            </w:r>
            <w:r/>
          </w:p>
        </w:tc>
        <w:tc>
          <w:tcPr>
            <w:tcW w:w="1417" w:type="dxa"/>
            <w:textDirection w:val="lrTb"/>
            <w:noWrap w:val="false"/>
          </w:tcPr>
          <w:p>
            <w:pPr>
              <w:jc w:val="center"/>
              <w:spacing w:line="360" w:lineRule="auto"/>
              <w:rPr>
                <w:rFonts w:ascii="宋体" w:hAnsi="宋体"/>
              </w:rPr>
            </w:pPr>
            <w:r>
              <w:rPr>
                <w:rFonts w:hint="eastAsia" w:ascii="宋体" w:hAnsi="宋体"/>
              </w:rPr>
              <w:t xml:space="preserve">数量</w:t>
            </w:r>
            <w:r/>
          </w:p>
        </w:tc>
        <w:tc>
          <w:tcPr>
            <w:tcW w:w="1566" w:type="dxa"/>
            <w:textDirection w:val="lrTb"/>
            <w:noWrap w:val="false"/>
          </w:tcPr>
          <w:p>
            <w:pPr>
              <w:jc w:val="center"/>
              <w:spacing w:line="360" w:lineRule="auto"/>
              <w:rPr>
                <w:rFonts w:ascii="宋体" w:hAnsi="宋体"/>
              </w:rPr>
            </w:pPr>
            <w:r>
              <w:rPr>
                <w:rFonts w:hint="eastAsia" w:ascii="宋体" w:hAnsi="宋体"/>
              </w:rPr>
              <w:t xml:space="preserve">交货期限</w:t>
            </w:r>
            <w:r/>
          </w:p>
        </w:tc>
        <w:tc>
          <w:tcPr>
            <w:tcW w:w="1442" w:type="dxa"/>
            <w:textDirection w:val="lrTb"/>
            <w:noWrap w:val="false"/>
          </w:tcPr>
          <w:p>
            <w:pPr>
              <w:jc w:val="center"/>
              <w:spacing w:line="360" w:lineRule="auto"/>
              <w:rPr>
                <w:rFonts w:ascii="宋体" w:hAnsi="宋体"/>
              </w:rPr>
            </w:pPr>
            <w:r>
              <w:rPr>
                <w:rFonts w:hint="eastAsia" w:ascii="宋体" w:hAnsi="宋体"/>
              </w:rPr>
              <w:t xml:space="preserve">小计金额(元)</w:t>
            </w:r>
            <w:r/>
          </w:p>
        </w:tc>
      </w:tr>
      <w:tr>
        <w:trPr/>
        <w:tc>
          <w:tcPr>
            <w:tcW w:w="704" w:type="dxa"/>
            <w:textDirection w:val="lrTb"/>
            <w:noWrap w:val="false"/>
          </w:tcPr>
          <w:p>
            <w:pPr>
              <w:jc w:val="center"/>
              <w:spacing w:line="360" w:lineRule="auto"/>
              <w:rPr>
                <w:rFonts w:ascii="宋体" w:hAnsi="宋体"/>
              </w:rPr>
            </w:pPr>
            <w:r>
              <w:rPr>
                <w:rFonts w:hint="eastAsia" w:ascii="宋体" w:hAnsi="宋体"/>
              </w:rPr>
              <w:t xml:space="preserve">1</w:t>
            </w:r>
            <w:r/>
          </w:p>
        </w:tc>
        <w:tc>
          <w:tcPr>
            <w:tcW w:w="2455" w:type="dxa"/>
            <w:textDirection w:val="lrTb"/>
            <w:noWrap w:val="false"/>
          </w:tcPr>
          <w:p>
            <w:pPr>
              <w:jc w:val="left"/>
              <w:spacing w:line="360" w:lineRule="auto"/>
              <w:rPr>
                <w:rFonts w:ascii="宋体" w:hAnsi="宋体"/>
              </w:rPr>
            </w:pPr>
            <w:r>
              <w:rPr>
                <w:rFonts w:ascii="宋体" w:hAnsi="宋体"/>
              </w:rPr>
            </w:r>
            <w:r/>
          </w:p>
        </w:tc>
        <w:tc>
          <w:tcPr>
            <w:tcW w:w="1350" w:type="dxa"/>
            <w:textDirection w:val="lrTb"/>
            <w:noWrap w:val="false"/>
          </w:tcPr>
          <w:p>
            <w:pPr>
              <w:jc w:val="left"/>
              <w:spacing w:line="360" w:lineRule="auto"/>
              <w:rPr>
                <w:rFonts w:ascii="宋体" w:hAnsi="宋体"/>
              </w:rPr>
            </w:pPr>
            <w:r>
              <w:rPr>
                <w:rFonts w:ascii="宋体" w:hAnsi="宋体"/>
              </w:rPr>
            </w:r>
            <w:r/>
          </w:p>
        </w:tc>
        <w:tc>
          <w:tcPr>
            <w:tcW w:w="1417" w:type="dxa"/>
            <w:textDirection w:val="lrTb"/>
            <w:noWrap w:val="false"/>
          </w:tcPr>
          <w:p>
            <w:pPr>
              <w:jc w:val="left"/>
              <w:spacing w:line="360" w:lineRule="auto"/>
              <w:rPr>
                <w:rFonts w:ascii="宋体" w:hAnsi="宋体"/>
              </w:rPr>
            </w:pPr>
            <w:r>
              <w:rPr>
                <w:rFonts w:ascii="宋体" w:hAnsi="宋体"/>
              </w:rPr>
            </w:r>
            <w:r/>
          </w:p>
        </w:tc>
        <w:tc>
          <w:tcPr>
            <w:tcW w:w="1566" w:type="dxa"/>
            <w:textDirection w:val="lrTb"/>
            <w:noWrap w:val="false"/>
          </w:tcPr>
          <w:p>
            <w:pPr>
              <w:jc w:val="left"/>
              <w:spacing w:line="360" w:lineRule="auto"/>
              <w:rPr>
                <w:rFonts w:ascii="宋体" w:hAnsi="宋体"/>
              </w:rPr>
            </w:pPr>
            <w:r>
              <w:rPr>
                <w:rFonts w:ascii="宋体" w:hAnsi="宋体"/>
              </w:rPr>
            </w:r>
            <w:r/>
          </w:p>
        </w:tc>
        <w:tc>
          <w:tcPr>
            <w:tcW w:w="1442" w:type="dxa"/>
            <w:textDirection w:val="lrTb"/>
            <w:noWrap w:val="false"/>
          </w:tcPr>
          <w:p>
            <w:pPr>
              <w:jc w:val="left"/>
              <w:spacing w:line="360" w:lineRule="auto"/>
              <w:rPr>
                <w:rFonts w:ascii="宋体" w:hAnsi="宋体"/>
              </w:rPr>
            </w:pPr>
            <w:r>
              <w:rPr>
                <w:rFonts w:ascii="宋体" w:hAnsi="宋体"/>
              </w:rPr>
            </w:r>
            <w:r/>
          </w:p>
        </w:tc>
      </w:tr>
      <w:tr>
        <w:trPr/>
        <w:tc>
          <w:tcPr>
            <w:tcW w:w="704" w:type="dxa"/>
            <w:textDirection w:val="lrTb"/>
            <w:noWrap w:val="false"/>
          </w:tcPr>
          <w:p>
            <w:pPr>
              <w:jc w:val="center"/>
              <w:spacing w:line="360" w:lineRule="auto"/>
              <w:rPr>
                <w:rFonts w:ascii="宋体" w:hAnsi="宋体"/>
              </w:rPr>
            </w:pPr>
            <w:r>
              <w:rPr>
                <w:rFonts w:hint="eastAsia" w:ascii="宋体" w:hAnsi="宋体"/>
              </w:rPr>
              <w:t xml:space="preserve">2</w:t>
            </w:r>
            <w:r/>
          </w:p>
        </w:tc>
        <w:tc>
          <w:tcPr>
            <w:tcW w:w="2455" w:type="dxa"/>
            <w:textDirection w:val="lrTb"/>
            <w:noWrap w:val="false"/>
          </w:tcPr>
          <w:p>
            <w:pPr>
              <w:jc w:val="left"/>
              <w:spacing w:line="360" w:lineRule="auto"/>
              <w:rPr>
                <w:rFonts w:ascii="宋体" w:hAnsi="宋体"/>
              </w:rPr>
            </w:pPr>
            <w:r>
              <w:rPr>
                <w:rFonts w:ascii="宋体" w:hAnsi="宋体"/>
              </w:rPr>
            </w:r>
            <w:r/>
          </w:p>
        </w:tc>
        <w:tc>
          <w:tcPr>
            <w:tcW w:w="1350" w:type="dxa"/>
            <w:textDirection w:val="lrTb"/>
            <w:noWrap w:val="false"/>
          </w:tcPr>
          <w:p>
            <w:pPr>
              <w:jc w:val="left"/>
              <w:spacing w:line="360" w:lineRule="auto"/>
              <w:rPr>
                <w:rFonts w:ascii="宋体" w:hAnsi="宋体"/>
              </w:rPr>
            </w:pPr>
            <w:r>
              <w:rPr>
                <w:rFonts w:ascii="宋体" w:hAnsi="宋体"/>
              </w:rPr>
            </w:r>
            <w:r/>
          </w:p>
        </w:tc>
        <w:tc>
          <w:tcPr>
            <w:tcW w:w="1417" w:type="dxa"/>
            <w:textDirection w:val="lrTb"/>
            <w:noWrap w:val="false"/>
          </w:tcPr>
          <w:p>
            <w:pPr>
              <w:jc w:val="left"/>
              <w:spacing w:line="360" w:lineRule="auto"/>
              <w:rPr>
                <w:rFonts w:ascii="宋体" w:hAnsi="宋体"/>
              </w:rPr>
            </w:pPr>
            <w:r>
              <w:rPr>
                <w:rFonts w:ascii="宋体" w:hAnsi="宋体"/>
              </w:rPr>
            </w:r>
            <w:r/>
          </w:p>
        </w:tc>
        <w:tc>
          <w:tcPr>
            <w:tcW w:w="1566" w:type="dxa"/>
            <w:textDirection w:val="lrTb"/>
            <w:noWrap w:val="false"/>
          </w:tcPr>
          <w:p>
            <w:pPr>
              <w:jc w:val="left"/>
              <w:spacing w:line="360" w:lineRule="auto"/>
              <w:rPr>
                <w:rFonts w:ascii="宋体" w:hAnsi="宋体"/>
              </w:rPr>
            </w:pPr>
            <w:r>
              <w:rPr>
                <w:rFonts w:ascii="宋体" w:hAnsi="宋体"/>
              </w:rPr>
            </w:r>
            <w:r/>
          </w:p>
        </w:tc>
        <w:tc>
          <w:tcPr>
            <w:tcW w:w="1442" w:type="dxa"/>
            <w:textDirection w:val="lrTb"/>
            <w:noWrap w:val="false"/>
          </w:tcPr>
          <w:p>
            <w:pPr>
              <w:jc w:val="left"/>
              <w:spacing w:line="360" w:lineRule="auto"/>
              <w:rPr>
                <w:rFonts w:ascii="宋体" w:hAnsi="宋体"/>
              </w:rPr>
            </w:pPr>
            <w:r>
              <w:rPr>
                <w:rFonts w:ascii="宋体" w:hAnsi="宋体"/>
              </w:rPr>
            </w:r>
            <w:r/>
          </w:p>
        </w:tc>
      </w:tr>
      <w:tr>
        <w:trPr/>
        <w:tc>
          <w:tcPr>
            <w:tcW w:w="704" w:type="dxa"/>
            <w:textDirection w:val="lrTb"/>
            <w:noWrap w:val="false"/>
          </w:tcPr>
          <w:p>
            <w:pPr>
              <w:jc w:val="center"/>
              <w:spacing w:line="360" w:lineRule="auto"/>
              <w:rPr>
                <w:rFonts w:ascii="宋体" w:hAnsi="宋体"/>
              </w:rPr>
            </w:pPr>
            <w:r>
              <w:rPr>
                <w:rFonts w:hint="eastAsia" w:ascii="宋体" w:hAnsi="宋体"/>
              </w:rPr>
              <w:t xml:space="preserve">3</w:t>
            </w:r>
            <w:r/>
          </w:p>
        </w:tc>
        <w:tc>
          <w:tcPr>
            <w:tcW w:w="2455" w:type="dxa"/>
            <w:textDirection w:val="lrTb"/>
            <w:noWrap w:val="false"/>
          </w:tcPr>
          <w:p>
            <w:pPr>
              <w:jc w:val="left"/>
              <w:spacing w:line="360" w:lineRule="auto"/>
              <w:rPr>
                <w:rFonts w:ascii="宋体" w:hAnsi="宋体"/>
              </w:rPr>
            </w:pPr>
            <w:r>
              <w:rPr>
                <w:rFonts w:ascii="宋体" w:hAnsi="宋体"/>
              </w:rPr>
            </w:r>
            <w:r/>
          </w:p>
        </w:tc>
        <w:tc>
          <w:tcPr>
            <w:tcW w:w="1350" w:type="dxa"/>
            <w:textDirection w:val="lrTb"/>
            <w:noWrap w:val="false"/>
          </w:tcPr>
          <w:p>
            <w:pPr>
              <w:jc w:val="left"/>
              <w:spacing w:line="360" w:lineRule="auto"/>
              <w:rPr>
                <w:rFonts w:ascii="宋体" w:hAnsi="宋体"/>
              </w:rPr>
            </w:pPr>
            <w:r>
              <w:rPr>
                <w:rFonts w:ascii="宋体" w:hAnsi="宋体"/>
              </w:rPr>
            </w:r>
            <w:r/>
          </w:p>
        </w:tc>
        <w:tc>
          <w:tcPr>
            <w:tcW w:w="1417" w:type="dxa"/>
            <w:textDirection w:val="lrTb"/>
            <w:noWrap w:val="false"/>
          </w:tcPr>
          <w:p>
            <w:pPr>
              <w:jc w:val="left"/>
              <w:spacing w:line="360" w:lineRule="auto"/>
              <w:rPr>
                <w:rFonts w:ascii="宋体" w:hAnsi="宋体"/>
              </w:rPr>
            </w:pPr>
            <w:r>
              <w:rPr>
                <w:rFonts w:ascii="宋体" w:hAnsi="宋体"/>
              </w:rPr>
            </w:r>
            <w:r/>
          </w:p>
        </w:tc>
        <w:tc>
          <w:tcPr>
            <w:tcW w:w="1566" w:type="dxa"/>
            <w:textDirection w:val="lrTb"/>
            <w:noWrap w:val="false"/>
          </w:tcPr>
          <w:p>
            <w:pPr>
              <w:jc w:val="left"/>
              <w:spacing w:line="360" w:lineRule="auto"/>
              <w:rPr>
                <w:rFonts w:ascii="宋体" w:hAnsi="宋体"/>
              </w:rPr>
            </w:pPr>
            <w:r>
              <w:rPr>
                <w:rFonts w:ascii="宋体" w:hAnsi="宋体"/>
              </w:rPr>
            </w:r>
            <w:r/>
          </w:p>
        </w:tc>
        <w:tc>
          <w:tcPr>
            <w:tcW w:w="1442" w:type="dxa"/>
            <w:textDirection w:val="lrTb"/>
            <w:noWrap w:val="false"/>
          </w:tcPr>
          <w:p>
            <w:pPr>
              <w:jc w:val="left"/>
              <w:spacing w:line="360" w:lineRule="auto"/>
              <w:rPr>
                <w:rFonts w:ascii="宋体" w:hAnsi="宋体"/>
              </w:rPr>
            </w:pPr>
            <w:r>
              <w:rPr>
                <w:rFonts w:ascii="宋体" w:hAnsi="宋体"/>
              </w:rPr>
            </w:r>
            <w:r/>
          </w:p>
        </w:tc>
      </w:tr>
      <w:tr>
        <w:trPr/>
        <w:tc>
          <w:tcPr>
            <w:tcW w:w="704" w:type="dxa"/>
            <w:textDirection w:val="lrTb"/>
            <w:noWrap w:val="false"/>
          </w:tcPr>
          <w:p>
            <w:pPr>
              <w:jc w:val="center"/>
              <w:spacing w:line="360" w:lineRule="auto"/>
              <w:rPr>
                <w:rFonts w:ascii="宋体" w:hAnsi="宋体"/>
              </w:rPr>
            </w:pPr>
            <w:r>
              <w:rPr>
                <w:rFonts w:ascii="宋体" w:hAnsi="宋体"/>
              </w:rPr>
              <w:t xml:space="preserve">…</w:t>
            </w:r>
            <w:r/>
          </w:p>
        </w:tc>
        <w:tc>
          <w:tcPr>
            <w:tcW w:w="2455" w:type="dxa"/>
            <w:textDirection w:val="lrTb"/>
            <w:noWrap w:val="false"/>
          </w:tcPr>
          <w:p>
            <w:pPr>
              <w:jc w:val="left"/>
              <w:spacing w:line="360" w:lineRule="auto"/>
              <w:rPr>
                <w:rFonts w:ascii="宋体" w:hAnsi="宋体"/>
              </w:rPr>
            </w:pPr>
            <w:r>
              <w:rPr>
                <w:rFonts w:ascii="宋体" w:hAnsi="宋体"/>
              </w:rPr>
            </w:r>
            <w:r/>
          </w:p>
        </w:tc>
        <w:tc>
          <w:tcPr>
            <w:tcW w:w="1350" w:type="dxa"/>
            <w:textDirection w:val="lrTb"/>
            <w:noWrap w:val="false"/>
          </w:tcPr>
          <w:p>
            <w:pPr>
              <w:jc w:val="left"/>
              <w:spacing w:line="360" w:lineRule="auto"/>
              <w:rPr>
                <w:rFonts w:ascii="宋体" w:hAnsi="宋体"/>
              </w:rPr>
            </w:pPr>
            <w:r>
              <w:rPr>
                <w:rFonts w:ascii="宋体" w:hAnsi="宋体"/>
              </w:rPr>
            </w:r>
            <w:r/>
          </w:p>
        </w:tc>
        <w:tc>
          <w:tcPr>
            <w:tcW w:w="1417" w:type="dxa"/>
            <w:textDirection w:val="lrTb"/>
            <w:noWrap w:val="false"/>
          </w:tcPr>
          <w:p>
            <w:pPr>
              <w:jc w:val="left"/>
              <w:spacing w:line="360" w:lineRule="auto"/>
              <w:rPr>
                <w:rFonts w:ascii="宋体" w:hAnsi="宋体"/>
              </w:rPr>
            </w:pPr>
            <w:r>
              <w:rPr>
                <w:rFonts w:ascii="宋体" w:hAnsi="宋体"/>
              </w:rPr>
            </w:r>
            <w:r/>
          </w:p>
        </w:tc>
        <w:tc>
          <w:tcPr>
            <w:tcW w:w="1566" w:type="dxa"/>
            <w:textDirection w:val="lrTb"/>
            <w:noWrap w:val="false"/>
          </w:tcPr>
          <w:p>
            <w:pPr>
              <w:jc w:val="left"/>
              <w:spacing w:line="360" w:lineRule="auto"/>
              <w:rPr>
                <w:rFonts w:ascii="宋体" w:hAnsi="宋体"/>
              </w:rPr>
            </w:pPr>
            <w:r>
              <w:rPr>
                <w:rFonts w:ascii="宋体" w:hAnsi="宋体"/>
              </w:rPr>
            </w:r>
            <w:r/>
          </w:p>
        </w:tc>
        <w:tc>
          <w:tcPr>
            <w:tcW w:w="1442" w:type="dxa"/>
            <w:textDirection w:val="lrTb"/>
            <w:noWrap w:val="false"/>
          </w:tcPr>
          <w:p>
            <w:pPr>
              <w:jc w:val="left"/>
              <w:spacing w:line="360" w:lineRule="auto"/>
              <w:rPr>
                <w:rFonts w:ascii="宋体" w:hAnsi="宋体"/>
              </w:rPr>
            </w:pPr>
            <w:r>
              <w:rPr>
                <w:rFonts w:ascii="宋体" w:hAnsi="宋体"/>
              </w:rPr>
            </w:r>
            <w:r/>
          </w:p>
        </w:tc>
      </w:tr>
    </w:tbl>
    <w:p>
      <w:pPr>
        <w:jc w:val="left"/>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三、合同总价款：</w:t>
      </w:r>
      <w:r>
        <w:rPr>
          <w:rFonts w:hint="eastAsia" w:ascii="宋体" w:hAnsi="宋体"/>
        </w:rPr>
        <w:t xml:space="preserve">大写人民币元，小写￥元。 </w:t>
      </w:r>
      <w:r/>
    </w:p>
    <w:p>
      <w:pPr>
        <w:ind w:firstLine="420"/>
        <w:spacing w:line="360" w:lineRule="auto"/>
        <w:rPr>
          <w:rFonts w:ascii="宋体" w:hAnsi="宋体"/>
        </w:rPr>
      </w:pPr>
      <w:r>
        <w:rPr>
          <w:rFonts w:hint="eastAsia" w:ascii="宋体" w:hAnsi="宋体"/>
        </w:rPr>
        <w:t xml:space="preserve">合同总价款范围：合同总价应</w:t>
      </w:r>
      <w:r>
        <w:rPr>
          <w:rFonts w:hint="eastAsia" w:ascii="宋体" w:hAnsi="宋体"/>
          <w:szCs w:val="21"/>
        </w:rPr>
        <w:t xml:space="preserve">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四、交货地点、时间、方式： </w:t>
      </w:r>
      <w:r/>
    </w:p>
    <w:p>
      <w:pPr>
        <w:ind w:firstLine="420"/>
        <w:spacing w:line="360" w:lineRule="auto"/>
        <w:rPr>
          <w:rFonts w:ascii="宋体" w:hAnsi="宋体"/>
        </w:rPr>
      </w:pPr>
      <w:r>
        <w:rPr>
          <w:rFonts w:hint="eastAsia" w:ascii="宋体" w:hAnsi="宋体"/>
        </w:rPr>
        <w:t xml:space="preserve">1.交货地点：乙方交货至甲方指定地点，所发生的运输等费用及货物的损坏造成的损失由乙方承担。</w:t>
      </w:r>
      <w:r/>
    </w:p>
    <w:p>
      <w:pPr>
        <w:ind w:firstLine="420"/>
        <w:spacing w:line="360" w:lineRule="auto"/>
        <w:rPr>
          <w:rFonts w:ascii="宋体" w:hAnsi="宋体"/>
        </w:rPr>
      </w:pPr>
      <w:r>
        <w:rPr>
          <w:rFonts w:hint="eastAsia" w:ascii="宋体" w:hAnsi="宋体"/>
        </w:rPr>
        <w:t xml:space="preserve">2.完工时间：</w:t>
      </w:r>
      <w:r>
        <w:rPr>
          <w:rFonts w:hint="eastAsia" w:ascii="宋体" w:hAnsi="宋体" w:cs="宋体"/>
          <w:szCs w:val="21"/>
        </w:rPr>
        <w:t xml:space="preserve">自收到采购单位通知后30天内交货及安装、调试完成</w:t>
      </w:r>
      <w:r>
        <w:rPr>
          <w:rFonts w:hint="eastAsia"/>
        </w:rPr>
        <w:t xml:space="preserve">。</w:t>
      </w:r>
      <w:r/>
    </w:p>
    <w:p>
      <w:pPr>
        <w:ind w:firstLine="420"/>
        <w:spacing w:line="360" w:lineRule="auto"/>
        <w:rPr>
          <w:rFonts w:ascii="宋体" w:hAnsi="宋体"/>
        </w:rPr>
      </w:pPr>
      <w:r>
        <w:rPr>
          <w:rFonts w:hint="eastAsia" w:ascii="宋体" w:hAnsi="宋体"/>
        </w:rPr>
        <w:t xml:space="preserve">3.交货方式：乙方负责将货物安全完好运抵交货地点、安装调试并保证验收合格。</w:t>
      </w:r>
      <w:r/>
    </w:p>
    <w:p>
      <w:pPr>
        <w:ind w:firstLine="420"/>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五、支付方式：</w:t>
      </w:r>
      <w:r/>
    </w:p>
    <w:p>
      <w:pPr>
        <w:ind w:right="-159" w:firstLine="420"/>
        <w:spacing w:line="360" w:lineRule="auto"/>
        <w:rPr>
          <w:rFonts w:cs="宋体"/>
        </w:rPr>
      </w:pPr>
      <w:r>
        <w:rPr>
          <w:rFonts w:hint="eastAsia" w:cs="宋体"/>
        </w:rPr>
        <w:t xml:space="preserve">1.</w:t>
      </w:r>
      <w:r>
        <w:rPr>
          <w:rFonts w:hint="eastAsia" w:cs="宋体"/>
        </w:rPr>
        <w:t xml:space="preserve">付款步骤</w:t>
      </w:r>
      <w:r>
        <w:rPr>
          <w:rFonts w:hint="eastAsia" w:ascii="宋体" w:hAnsi="宋体"/>
          <w:b/>
        </w:rPr>
        <w:t xml:space="preserve">（由乙方勾选）</w:t>
      </w:r>
      <w:r/>
    </w:p>
    <w:p>
      <w:pPr>
        <w:ind w:right="-159" w:firstLine="420"/>
        <w:spacing w:line="360" w:lineRule="auto"/>
        <w:rPr>
          <w:rFonts w:cs="宋体"/>
        </w:rPr>
      </w:pPr>
      <w:r>
        <w:rPr>
          <w:rFonts w:hint="eastAsia" w:cs="宋体"/>
        </w:rPr>
        <w:t xml:space="preserve">A</w:t>
      </w:r>
      <w:r>
        <w:rPr>
          <w:rFonts w:hint="eastAsia" w:cs="宋体"/>
        </w:rPr>
        <w:t xml:space="preserve">、□在签订合同时，乙方明确表示需要甲方支付预付款的</w:t>
      </w:r>
      <w:r/>
    </w:p>
    <w:p>
      <w:pPr>
        <w:ind w:right="-159" w:firstLine="420"/>
        <w:spacing w:line="360" w:lineRule="auto"/>
        <w:rPr>
          <w:rFonts w:cs="宋体"/>
        </w:rPr>
      </w:pPr>
      <w:r>
        <w:rPr>
          <w:rFonts w:hint="eastAsia" w:cs="宋体"/>
        </w:rPr>
        <w:t xml:space="preserve">采购合同签订生效后，甲方向乙方支付合同金额</w:t>
      </w:r>
      <w:r>
        <w:rPr>
          <w:rFonts w:hint="eastAsia" w:cs="宋体"/>
        </w:rPr>
        <w:t xml:space="preserve">30%</w:t>
      </w:r>
      <w:r>
        <w:rPr>
          <w:rFonts w:hint="eastAsia" w:cs="宋体"/>
        </w:rPr>
        <w:t xml:space="preserve">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w:t>
      </w:r>
      <w:r>
        <w:rPr>
          <w:rFonts w:hint="eastAsia"/>
          <w:szCs w:val="21"/>
        </w:rPr>
        <w:t xml:space="preserve">A</w:t>
      </w:r>
      <w:r>
        <w:rPr>
          <w:rFonts w:hint="eastAsia"/>
          <w:szCs w:val="21"/>
        </w:rPr>
        <w:t xml:space="preserve">、</w:t>
      </w:r>
      <w:r>
        <w:rPr>
          <w:rFonts w:hint="eastAsia"/>
          <w:szCs w:val="21"/>
        </w:rPr>
        <w:t xml:space="preserve">B</w:t>
      </w:r>
      <w:r>
        <w:rPr>
          <w:rFonts w:hint="eastAsia"/>
          <w:szCs w:val="21"/>
        </w:rPr>
        <w:t xml:space="preserve">）后，甲方一次性支付剩余款项</w:t>
      </w:r>
      <w:r>
        <w:rPr>
          <w:rFonts w:hint="eastAsia" w:ascii="宋体" w:hAnsi="宋体" w:cs="宋体"/>
          <w:sz w:val="22"/>
          <w:szCs w:val="22"/>
        </w:rPr>
        <w:t xml:space="preserve">。</w:t>
      </w:r>
      <w:r/>
    </w:p>
    <w:p>
      <w:pPr>
        <w:ind w:right="-159" w:firstLine="420"/>
        <w:spacing w:line="360" w:lineRule="auto"/>
        <w:rPr>
          <w:szCs w:val="21"/>
        </w:rPr>
      </w:pPr>
      <w:r>
        <w:rPr>
          <w:szCs w:val="21"/>
        </w:rPr>
      </w:r>
      <w:r/>
    </w:p>
    <w:p>
      <w:pPr>
        <w:ind w:right="-159" w:firstLine="420"/>
        <w:spacing w:line="360" w:lineRule="auto"/>
        <w:rPr>
          <w:rFonts w:cs="宋体"/>
        </w:rPr>
      </w:pPr>
      <w:r>
        <w:rPr>
          <w:rFonts w:hint="eastAsia" w:cs="宋体"/>
        </w:rPr>
        <w:t xml:space="preserve">B</w:t>
      </w:r>
      <w:r>
        <w:rPr>
          <w:rFonts w:hint="eastAsia" w:cs="宋体"/>
        </w:rPr>
        <w:t xml:space="preserve">、□在签订合同时，乙方明确表示无需甲方支付预付款的</w:t>
      </w:r>
      <w:r/>
    </w:p>
    <w:p>
      <w:pPr>
        <w:ind w:right="-159" w:firstLine="420"/>
        <w:spacing w:line="360" w:lineRule="auto"/>
        <w:rPr>
          <w:rFonts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w:t>
      </w:r>
      <w:r>
        <w:rPr>
          <w:rFonts w:hint="eastAsia"/>
          <w:szCs w:val="21"/>
        </w:rPr>
        <w:t xml:space="preserve">A</w:t>
      </w:r>
      <w:r>
        <w:rPr>
          <w:rFonts w:hint="eastAsia"/>
          <w:szCs w:val="21"/>
        </w:rPr>
        <w:t xml:space="preserve">、</w:t>
      </w:r>
      <w:r>
        <w:rPr>
          <w:rFonts w:hint="eastAsia"/>
          <w:szCs w:val="21"/>
        </w:rPr>
        <w:t xml:space="preserve">B</w:t>
      </w:r>
      <w:r>
        <w:rPr>
          <w:rFonts w:hint="eastAsia"/>
          <w:szCs w:val="21"/>
        </w:rPr>
        <w:t xml:space="preserve">）后，甲方一次性支付全部款项</w:t>
      </w:r>
      <w:r>
        <w:rPr>
          <w:rFonts w:hint="eastAsia" w:cs="宋体"/>
        </w:rPr>
        <w:t xml:space="preserve">。</w:t>
      </w:r>
      <w:r/>
    </w:p>
    <w:p>
      <w:pPr>
        <w:ind w:right="-159" w:firstLine="420"/>
        <w:spacing w:line="360" w:lineRule="auto"/>
        <w:rPr>
          <w:rFonts w:cs="宋体"/>
        </w:rPr>
      </w:pPr>
      <w:r>
        <w:rPr>
          <w:rFonts w:hint="eastAsia" w:cs="宋体"/>
        </w:rPr>
        <w:t xml:space="preserve">（</w:t>
      </w:r>
      <w:r>
        <w:rPr>
          <w:rFonts w:hint="eastAsia" w:cs="宋体"/>
        </w:rPr>
        <w:t xml:space="preserve">A</w:t>
      </w:r>
      <w:r>
        <w:rPr>
          <w:rFonts w:hint="eastAsia" w:cs="宋体"/>
        </w:rPr>
        <w:t xml:space="preserve">）甲、乙双方签章认可的《政府采购合同履行验收报告》。</w:t>
      </w:r>
      <w:r/>
    </w:p>
    <w:p>
      <w:pPr>
        <w:ind w:right="-159" w:firstLine="420"/>
        <w:spacing w:line="360" w:lineRule="auto"/>
        <w:rPr>
          <w:rFonts w:cs="宋体"/>
        </w:rPr>
      </w:pPr>
      <w:r>
        <w:rPr>
          <w:rFonts w:hint="eastAsia" w:cs="宋体"/>
        </w:rPr>
        <w:t xml:space="preserve">（</w:t>
      </w:r>
      <w:r>
        <w:rPr>
          <w:rFonts w:hint="eastAsia" w:cs="宋体"/>
        </w:rPr>
        <w:t xml:space="preserve">B</w:t>
      </w:r>
      <w:r>
        <w:rPr>
          <w:rFonts w:hint="eastAsia" w:cs="宋体"/>
        </w:rPr>
        <w:t xml:space="preserve">）乙方出具的满足甲方要求的合格销售发票。</w:t>
      </w:r>
      <w:r/>
    </w:p>
    <w:p>
      <w:pPr>
        <w:ind w:right="-159" w:firstLine="420"/>
        <w:spacing w:line="360" w:lineRule="auto"/>
        <w:rPr>
          <w:rFonts w:cs="宋体"/>
        </w:rPr>
      </w:pPr>
      <w:r>
        <w:rPr>
          <w:rFonts w:hint="eastAsia"/>
        </w:rPr>
        <w:t xml:space="preserve">2.</w:t>
      </w:r>
      <w:r>
        <w:rPr>
          <w:rFonts w:hint="eastAsia" w:cs="宋体"/>
        </w:rPr>
        <w:t xml:space="preserve">付款方式：银行汇票或转帐支票。</w:t>
      </w:r>
      <w:r/>
    </w:p>
    <w:p>
      <w:pPr>
        <w:ind w:right="-159" w:firstLine="420"/>
        <w:spacing w:line="360" w:lineRule="auto"/>
        <w:rPr>
          <w:rFonts w:cs="宋体"/>
        </w:rPr>
      </w:pPr>
      <w:r>
        <w:rPr>
          <w:rFonts w:hint="eastAsia" w:cs="宋体"/>
        </w:rPr>
        <w:t xml:space="preserve">3.</w:t>
      </w:r>
      <w:r>
        <w:rPr>
          <w:rFonts w:hint="eastAsia" w:cs="宋体"/>
        </w:rPr>
        <w:t xml:space="preserve">履约保证金：</w:t>
      </w:r>
      <w:r/>
    </w:p>
    <w:p>
      <w:pPr>
        <w:pStyle w:val="1016"/>
        <w:ind w:firstLine="420"/>
        <w:spacing w:line="360" w:lineRule="auto"/>
        <w:rPr>
          <w:rFonts w:ascii="Times New Roman" w:hAnsi="Times New Roman" w:eastAsia="宋体"/>
          <w:sz w:val="21"/>
          <w:szCs w:val="21"/>
        </w:rPr>
      </w:pPr>
      <w:r>
        <w:rPr>
          <w:rFonts w:hint="eastAsia" w:ascii="Times New Roman" w:hAnsi="Times New Roman" w:eastAsia="宋体"/>
          <w:sz w:val="21"/>
          <w:szCs w:val="21"/>
        </w:rPr>
        <w:t xml:space="preserve">3.1.</w:t>
      </w:r>
      <w:r>
        <w:rPr>
          <w:rFonts w:hint="eastAsia" w:ascii="Times New Roman" w:hAnsi="Times New Roman" w:eastAsia="宋体"/>
          <w:sz w:val="21"/>
          <w:szCs w:val="21"/>
        </w:rPr>
        <w:t xml:space="preserve">合同签订收到甲方通知后，向甲方缴纳合同金额的</w:t>
      </w:r>
      <w:r>
        <w:rPr>
          <w:rFonts w:hint="eastAsia" w:ascii="Times New Roman" w:hAnsi="Times New Roman" w:eastAsia="宋体"/>
          <w:sz w:val="21"/>
          <w:szCs w:val="21"/>
        </w:rPr>
        <w:t xml:space="preserve">10%</w:t>
      </w:r>
      <w:r>
        <w:rPr>
          <w:rFonts w:hint="eastAsia" w:ascii="Times New Roman" w:hAnsi="Times New Roman" w:eastAsia="宋体"/>
          <w:sz w:val="21"/>
          <w:szCs w:val="21"/>
        </w:rPr>
        <w:t xml:space="preserve">作为履约保证金。</w:t>
      </w:r>
      <w:r/>
    </w:p>
    <w:p>
      <w:pPr>
        <w:ind w:right="-161" w:firstLine="420"/>
        <w:jc w:val="left"/>
        <w:spacing w:line="360" w:lineRule="auto"/>
        <w:rPr>
          <w:szCs w:val="21"/>
        </w:rPr>
      </w:pPr>
      <w:r>
        <w:rPr>
          <w:rFonts w:hint="eastAsia"/>
          <w:szCs w:val="21"/>
        </w:rPr>
        <w:t xml:space="preserve">3.2.</w:t>
      </w:r>
      <w:r>
        <w:rPr>
          <w:rFonts w:hint="eastAsia"/>
          <w:szCs w:val="21"/>
        </w:rPr>
        <w:t xml:space="preserve">如果乙方未能履行合同规定的一项或多项义务，甲方有权从履约保证金中取得补偿，履约保证金不足的，乙方需补足。</w:t>
      </w:r>
      <w:r/>
    </w:p>
    <w:p>
      <w:pPr>
        <w:ind w:firstLine="420"/>
        <w:spacing w:line="360" w:lineRule="auto"/>
        <w:rPr>
          <w:rFonts w:ascii="宋体" w:hAnsi="宋体"/>
          <w:bCs/>
          <w:szCs w:val="21"/>
        </w:rPr>
      </w:pPr>
      <w:r>
        <w:rPr>
          <w:rFonts w:hint="eastAsia"/>
          <w:szCs w:val="21"/>
        </w:rPr>
        <w:t xml:space="preserve">3.3.</w:t>
      </w:r>
      <w:r>
        <w:rPr>
          <w:rFonts w:hint="eastAsia"/>
          <w:szCs w:val="21"/>
        </w:rPr>
        <w:t xml:space="preserve">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p>
    <w:p>
      <w:pPr>
        <w:ind w:right="-161" w:firstLine="420"/>
        <w:spacing w:line="360" w:lineRule="auto"/>
        <w:rPr>
          <w:rFonts w:ascii="宋体" w:hAnsi="宋体" w:cs="宋体"/>
        </w:rPr>
      </w:pPr>
      <w:r>
        <w:rPr>
          <w:rFonts w:hint="eastAsia" w:ascii="宋体" w:hAnsi="宋体" w:cs="宋体"/>
        </w:rPr>
        <w:t xml:space="preserve">4.乙方账户信息如下：</w:t>
      </w:r>
      <w:r/>
    </w:p>
    <w:p>
      <w:pPr>
        <w:ind w:right="-161" w:firstLine="420"/>
        <w:spacing w:line="360" w:lineRule="auto"/>
        <w:rPr>
          <w:rFonts w:ascii="宋体" w:hAnsi="宋体" w:cs="宋体"/>
        </w:rPr>
      </w:pPr>
      <w:r>
        <w:rPr>
          <w:rFonts w:hint="eastAsia" w:ascii="宋体" w:hAnsi="宋体" w:cs="宋体"/>
        </w:rPr>
        <w:t xml:space="preserve">开户名称：</w:t>
      </w:r>
      <w:r/>
    </w:p>
    <w:p>
      <w:pPr>
        <w:ind w:right="-161" w:firstLine="420"/>
        <w:spacing w:line="360" w:lineRule="auto"/>
        <w:rPr>
          <w:rFonts w:ascii="宋体" w:hAnsi="宋体" w:cs="宋体"/>
        </w:rPr>
      </w:pPr>
      <w:r>
        <w:rPr>
          <w:rFonts w:hint="eastAsia" w:ascii="宋体" w:hAnsi="宋体" w:cs="宋体"/>
        </w:rPr>
        <w:t xml:space="preserve">开户银行：</w:t>
      </w:r>
      <w:r/>
    </w:p>
    <w:p>
      <w:pPr>
        <w:ind w:right="-161" w:firstLine="420"/>
        <w:spacing w:line="360" w:lineRule="auto"/>
        <w:rPr>
          <w:rFonts w:ascii="宋体" w:hAnsi="宋体" w:cs="宋体"/>
        </w:rPr>
      </w:pPr>
      <w:r>
        <w:rPr>
          <w:rFonts w:hint="eastAsia" w:ascii="宋体" w:hAnsi="宋体" w:cs="宋体"/>
        </w:rPr>
        <w:t xml:space="preserve">银行账号：</w:t>
      </w:r>
      <w:r/>
    </w:p>
    <w:p>
      <w:pPr>
        <w:ind w:firstLine="420"/>
        <w:spacing w:line="360" w:lineRule="auto"/>
        <w:rPr>
          <w:rFonts w:ascii="宋体" w:hAnsi="宋体"/>
          <w:szCs w:val="21"/>
        </w:rPr>
      </w:pPr>
      <w:r>
        <w:rPr>
          <w:rFonts w:hint="eastAsia" w:ascii="宋体" w:hAnsi="宋体" w:cs="宋体"/>
        </w:rPr>
        <w:t xml:space="preserve">乙方数字人民币账号</w:t>
      </w:r>
      <w:r>
        <w:rPr>
          <w:rFonts w:hint="eastAsia" w:ascii="宋体" w:hAnsi="宋体"/>
          <w:szCs w:val="21"/>
        </w:rPr>
        <w:t xml:space="preserve">：</w:t>
      </w:r>
      <w:r/>
    </w:p>
    <w:p>
      <w:pPr>
        <w:pStyle w:val="928"/>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六、验收 </w:t>
      </w:r>
      <w:r/>
    </w:p>
    <w:p>
      <w:pPr>
        <w:ind w:firstLine="420"/>
        <w:spacing w:line="360" w:lineRule="auto"/>
        <w:rPr>
          <w:rFonts w:ascii="宋体" w:hAnsi="宋体"/>
        </w:rPr>
      </w:pPr>
      <w:r>
        <w:rPr>
          <w:rFonts w:hint="eastAsia" w:ascii="宋体" w:hAnsi="宋体"/>
        </w:rPr>
        <w:t xml:space="preserve">1.履约验收标准：根据国家相关法律法规、行业相关标准、政府采购合同要求、招标文件要求、响应文件的承诺。</w:t>
      </w:r>
      <w:r/>
    </w:p>
    <w:p>
      <w:pPr>
        <w:ind w:firstLine="420"/>
        <w:spacing w:line="360" w:lineRule="auto"/>
        <w:rPr>
          <w:rFonts w:ascii="宋体" w:hAnsi="宋体"/>
        </w:rPr>
      </w:pPr>
      <w:r>
        <w:rPr>
          <w:rFonts w:hint="eastAsia" w:ascii="宋体" w:hAnsi="宋体"/>
        </w:rPr>
        <w:t xml:space="preserve">2.履约验收主体：由甲方进行验收。</w:t>
      </w:r>
      <w:r/>
    </w:p>
    <w:p>
      <w:pPr>
        <w:ind w:firstLine="420"/>
        <w:spacing w:line="360" w:lineRule="auto"/>
        <w:rPr>
          <w:rFonts w:ascii="宋体" w:hAnsi="宋体"/>
        </w:rPr>
      </w:pPr>
      <w:r>
        <w:rPr>
          <w:rFonts w:hint="eastAsia" w:ascii="宋体" w:hAnsi="宋体"/>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rPr>
      </w:pPr>
      <w:r>
        <w:rPr>
          <w:rFonts w:hint="eastAsia" w:ascii="宋体" w:hAnsi="宋体"/>
        </w:rPr>
        <w:t xml:space="preserve">4.其他验收要求按照《江苏省政府采购履约验收管理办法》规定执行。</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七、</w:t>
      </w:r>
      <w:r>
        <w:rPr>
          <w:rFonts w:hint="eastAsia" w:ascii="宋体" w:hAnsi="宋体" w:cs="宋体"/>
          <w:b/>
        </w:rPr>
        <w:t xml:space="preserve">售后服务及其他要求</w:t>
      </w:r>
      <w:r>
        <w:rPr>
          <w:rFonts w:hint="eastAsia" w:ascii="宋体" w:hAnsi="宋体"/>
          <w:b/>
        </w:rPr>
        <w:t xml:space="preserve">：</w:t>
      </w:r>
      <w:r/>
    </w:p>
    <w:p>
      <w:pPr>
        <w:ind w:firstLine="420"/>
        <w:spacing w:line="360" w:lineRule="auto"/>
        <w:rPr>
          <w:rFonts w:ascii="宋体" w:hAnsi="宋体"/>
        </w:rPr>
      </w:pPr>
      <w:r>
        <w:rPr>
          <w:rFonts w:hint="eastAsia" w:ascii="宋体" w:hAnsi="宋体"/>
        </w:rPr>
        <w:t xml:space="preserve">（一）具体按招标文件售后服务条款。</w:t>
      </w:r>
      <w:r/>
    </w:p>
    <w:p>
      <w:pPr>
        <w:ind w:firstLine="420"/>
        <w:spacing w:line="360" w:lineRule="auto"/>
        <w:rPr>
          <w:rFonts w:ascii="宋体" w:hAnsi="宋体"/>
        </w:rPr>
      </w:pPr>
      <w:r>
        <w:rPr>
          <w:rFonts w:hint="eastAsia" w:ascii="宋体" w:hAnsi="宋体"/>
        </w:rPr>
        <w:t xml:space="preserve">（二）其他要求按乙方投标文件承诺的条款执行。</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八、伴随服务 </w:t>
      </w:r>
      <w:r/>
    </w:p>
    <w:p>
      <w:pPr>
        <w:ind w:firstLine="420"/>
        <w:spacing w:line="360" w:lineRule="auto"/>
        <w:rPr>
          <w:rFonts w:ascii="宋体" w:hAnsi="宋体"/>
        </w:rPr>
      </w:pPr>
      <w:r>
        <w:rPr>
          <w:rFonts w:hint="eastAsia" w:ascii="宋体" w:hAnsi="宋体"/>
        </w:rPr>
        <w:t xml:space="preserve">1.乙方应提供所交付货物的全套技术文件资料，不限于产品目录、软件备份、图纸、操作手册、使用说明、维护手册和服务指南等。</w:t>
      </w:r>
      <w:r/>
    </w:p>
    <w:p>
      <w:pPr>
        <w:ind w:firstLine="420"/>
        <w:spacing w:line="360" w:lineRule="auto"/>
        <w:rPr>
          <w:rFonts w:ascii="宋体" w:hAnsi="宋体"/>
        </w:rPr>
      </w:pPr>
      <w:r>
        <w:rPr>
          <w:rFonts w:hint="eastAsia" w:ascii="宋体" w:hAnsi="宋体"/>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ascii="宋体" w:hAnsi="宋体"/>
        </w:rPr>
      </w:pPr>
      <w:r>
        <w:rPr>
          <w:rFonts w:hint="eastAsia" w:ascii="宋体" w:hAnsi="宋体"/>
        </w:rPr>
        <w:t xml:space="preserve">3.上述伴随服务的费用应包含在合同价中，不单独进行支付。</w:t>
      </w:r>
      <w:r/>
    </w:p>
    <w:p>
      <w:pPr>
        <w:ind w:firstLine="420"/>
        <w:spacing w:line="360" w:lineRule="auto"/>
        <w:rPr>
          <w:rFonts w:ascii="宋体" w:hAnsi="宋体"/>
        </w:rPr>
      </w:pPr>
      <w:r>
        <w:rPr>
          <w:rFonts w:hint="eastAsia" w:ascii="宋体" w:hAnsi="宋体"/>
        </w:rPr>
        <w:t xml:space="preserve">4.货物的包装、储运、安装按国家有关规定执行。</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九、质量保证</w:t>
      </w:r>
      <w:r/>
    </w:p>
    <w:p>
      <w:pPr>
        <w:ind w:firstLine="420"/>
        <w:spacing w:line="360" w:lineRule="auto"/>
        <w:rPr>
          <w:rFonts w:ascii="宋体" w:hAnsi="宋体"/>
        </w:rPr>
      </w:pPr>
      <w:r>
        <w:rPr>
          <w:rFonts w:hint="eastAsia" w:ascii="宋体" w:hAnsi="宋体"/>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宋体" w:hAnsi="宋体"/>
        </w:rPr>
      </w:pPr>
      <w:r>
        <w:rPr>
          <w:rFonts w:hint="eastAsia" w:ascii="宋体" w:hAnsi="宋体"/>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宋体" w:hAnsi="宋体"/>
        </w:rPr>
      </w:pPr>
      <w:r>
        <w:rPr>
          <w:rFonts w:hint="eastAsia" w:ascii="宋体" w:hAnsi="宋体"/>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rPr>
      </w:pPr>
      <w:r>
        <w:rPr>
          <w:rFonts w:hint="eastAsia" w:ascii="宋体" w:hAnsi="宋体"/>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十、索赔</w:t>
      </w:r>
      <w:r/>
    </w:p>
    <w:p>
      <w:pPr>
        <w:ind w:firstLine="420"/>
        <w:spacing w:line="360" w:lineRule="auto"/>
        <w:rPr>
          <w:rFonts w:ascii="宋体" w:hAnsi="宋体"/>
        </w:rPr>
      </w:pPr>
      <w:r>
        <w:rPr>
          <w:rFonts w:hint="eastAsia" w:ascii="宋体" w:hAnsi="宋体"/>
        </w:rPr>
        <w:t xml:space="preserve">1.甲方有权根据当地国家技术监督局、进出口商品检验局或其他具有法定资格的质检机构出具的检验证书向乙方提出索赔。 </w:t>
      </w:r>
      <w:r/>
    </w:p>
    <w:p>
      <w:pPr>
        <w:ind w:firstLine="420"/>
        <w:spacing w:line="360" w:lineRule="auto"/>
        <w:rPr>
          <w:rFonts w:ascii="宋体" w:hAnsi="宋体"/>
        </w:rPr>
      </w:pPr>
      <w:r>
        <w:rPr>
          <w:rFonts w:hint="eastAsia" w:ascii="宋体" w:hAnsi="宋体"/>
        </w:rPr>
        <w:t xml:space="preserve">2.如果乙方对缺陷负有责任而甲方提出索赔，乙方应按照甲方同意的下列一种或多种方式解决索赔事宜： </w:t>
      </w:r>
      <w:r/>
    </w:p>
    <w:p>
      <w:pPr>
        <w:ind w:firstLine="420"/>
        <w:spacing w:line="360" w:lineRule="auto"/>
        <w:rPr>
          <w:rFonts w:ascii="宋体" w:hAnsi="宋体"/>
        </w:rPr>
      </w:pPr>
      <w:r>
        <w:rPr>
          <w:rFonts w:hint="eastAsia" w:ascii="宋体" w:hAnsi="宋体"/>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ascii="宋体" w:hAnsi="宋体"/>
        </w:rPr>
      </w:pPr>
      <w:r>
        <w:rPr>
          <w:rFonts w:hint="eastAsia" w:ascii="宋体" w:hAnsi="宋体"/>
        </w:rPr>
        <w:t xml:space="preserve">（2）根据货物低劣、损坏程度以及甲方所遭受损失的金额，经双方商定降低货物的价格。</w:t>
      </w:r>
      <w:r/>
    </w:p>
    <w:p>
      <w:pPr>
        <w:ind w:firstLine="420"/>
        <w:spacing w:line="360" w:lineRule="auto"/>
        <w:rPr>
          <w:rFonts w:ascii="宋体" w:hAnsi="宋体"/>
        </w:rPr>
      </w:pPr>
      <w:r>
        <w:rPr>
          <w:rFonts w:hint="eastAsia" w:ascii="宋体" w:hAnsi="宋体"/>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ascii="宋体" w:hAnsi="宋体"/>
        </w:rPr>
      </w:pPr>
      <w:r>
        <w:rPr>
          <w:rFonts w:hint="eastAsia" w:ascii="宋体" w:hAnsi="宋体"/>
        </w:rPr>
        <w:t xml:space="preserve">3.如果在甲方发出索赔通知后七天内乙方未作答复，上述索赔应视为已被乙方接受。如乙方未能在接到甲方索赔通知后七天内或甲方同意的延长期限内，按照上述规定的任何一种或多种方式解</w:t>
      </w:r>
      <w:r>
        <w:rPr>
          <w:rFonts w:hint="eastAsia" w:ascii="宋体" w:hAnsi="宋体"/>
        </w:rPr>
        <w:t xml:space="preserve">决索赔事宜并征得甲方同意，甲方有权从应付货款中扣回索赔金额，并拥有对赔偿不足部分进一步索赔的权利。</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十一、履约延误 </w:t>
      </w:r>
      <w:r/>
    </w:p>
    <w:p>
      <w:pPr>
        <w:ind w:firstLine="420"/>
        <w:spacing w:line="360" w:lineRule="auto"/>
        <w:rPr>
          <w:rFonts w:ascii="宋体" w:hAnsi="宋体"/>
        </w:rPr>
      </w:pPr>
      <w:r>
        <w:rPr>
          <w:rFonts w:hint="eastAsia" w:ascii="宋体" w:hAnsi="宋体"/>
        </w:rPr>
        <w:t xml:space="preserve">1.乙方应按照合同规定的时间、地点交货和提供服务；甲方应按照合同规定的时间、地点接收货物和接受服务。</w:t>
      </w:r>
      <w:r/>
    </w:p>
    <w:p>
      <w:pPr>
        <w:ind w:firstLine="420"/>
        <w:spacing w:line="360" w:lineRule="auto"/>
        <w:rPr>
          <w:rFonts w:ascii="宋体" w:hAnsi="宋体"/>
        </w:rPr>
      </w:pPr>
      <w:r>
        <w:rPr>
          <w:rFonts w:hint="eastAsia" w:ascii="宋体" w:hAnsi="宋体"/>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ascii="宋体" w:hAnsi="宋体"/>
        </w:rPr>
      </w:pPr>
      <w:r>
        <w:rPr>
          <w:rFonts w:hint="eastAsia" w:ascii="宋体" w:hAnsi="宋体"/>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28"/>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十二、误期赔偿 </w:t>
      </w:r>
      <w:r/>
    </w:p>
    <w:p>
      <w:pPr>
        <w:ind w:firstLine="420"/>
        <w:spacing w:line="360" w:lineRule="auto"/>
        <w:rPr>
          <w:rFonts w:ascii="宋体" w:hAnsi="宋体"/>
        </w:rPr>
      </w:pPr>
      <w:r>
        <w:rPr>
          <w:rFonts w:hint="eastAsia" w:ascii="宋体" w:hAnsi="宋体"/>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宋体" w:hAnsi="宋体"/>
        </w:rPr>
      </w:pPr>
      <w:r>
        <w:rPr>
          <w:rFonts w:hint="eastAsia" w:ascii="宋体" w:hAnsi="宋体"/>
        </w:rPr>
        <w:t xml:space="preserve">2.误期赔偿费可从应付货款中扣除。 </w:t>
      </w:r>
      <w:r/>
    </w:p>
    <w:p>
      <w:pPr>
        <w:ind w:firstLine="420"/>
        <w:spacing w:line="360" w:lineRule="auto"/>
        <w:rPr>
          <w:rFonts w:ascii="宋体" w:hAnsi="宋体"/>
        </w:rPr>
      </w:pPr>
      <w:r>
        <w:rPr>
          <w:rFonts w:hint="eastAsia" w:ascii="宋体" w:hAnsi="宋体"/>
        </w:rPr>
        <w:t xml:space="preserve">3.收取误期赔偿费不影响甲方采取合同规定的其他补救措施的权利。 </w:t>
      </w:r>
      <w:r/>
    </w:p>
    <w:p>
      <w:pPr>
        <w:ind w:firstLine="420"/>
        <w:spacing w:line="360" w:lineRule="auto"/>
        <w:rPr>
          <w:rFonts w:ascii="宋体" w:hAnsi="宋体"/>
        </w:rPr>
      </w:pPr>
      <w:r>
        <w:rPr>
          <w:rFonts w:hint="eastAsia" w:ascii="宋体" w:hAnsi="宋体"/>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十三、不可抗力</w:t>
      </w:r>
      <w:r/>
    </w:p>
    <w:p>
      <w:pPr>
        <w:ind w:firstLine="420"/>
        <w:spacing w:line="360" w:lineRule="auto"/>
        <w:rPr>
          <w:rFonts w:ascii="宋体" w:hAnsi="宋体"/>
        </w:rPr>
      </w:pPr>
      <w:r>
        <w:rPr>
          <w:rFonts w:hint="eastAsia" w:ascii="宋体" w:hAnsi="宋体"/>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rPr>
      </w:pPr>
      <w:r>
        <w:rPr>
          <w:rFonts w:hint="eastAsia" w:ascii="宋体" w:hAnsi="宋体"/>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ascii="宋体" w:hAnsi="宋体"/>
        </w:rPr>
      </w:pPr>
      <w:r>
        <w:rPr>
          <w:rFonts w:hint="eastAsia" w:ascii="宋体" w:hAnsi="宋体"/>
        </w:rPr>
        <w:t xml:space="preserve">3.在不可抗力事件发生后，当事方应在十五日内以书面形式将不可抗力的情况和原因通知对方。双方应尽实际可能继续履行合同义务，并积极寻求采取合理的方案履行不受不可抗力影响的其他事</w:t>
      </w:r>
      <w:r>
        <w:rPr>
          <w:rFonts w:hint="eastAsia" w:ascii="宋体" w:hAnsi="宋体"/>
        </w:rPr>
        <w:t xml:space="preserve">项。双方应通过友好协商在合理的时间内达成进一步履行合同的协议。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十四、争端的解决 </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rPr>
      </w:pPr>
      <w:r>
        <w:rPr>
          <w:rFonts w:hint="eastAsia" w:ascii="宋体" w:hAnsi="宋体"/>
        </w:rPr>
        <w:t xml:space="preserve">2.如果调解不成，双方中的任何一方可向人民法院提起诉讼。诉讼由合同签订地人民法院管辖。 </w:t>
      </w:r>
      <w:r/>
    </w:p>
    <w:p>
      <w:pPr>
        <w:ind w:firstLine="420"/>
        <w:spacing w:line="360" w:lineRule="auto"/>
        <w:rPr>
          <w:rFonts w:ascii="宋体" w:hAnsi="宋体"/>
        </w:rPr>
      </w:pPr>
      <w:r>
        <w:rPr>
          <w:rFonts w:hint="eastAsia" w:ascii="宋体" w:hAnsi="宋体"/>
        </w:rPr>
        <w:t xml:space="preserve">3.诉讼费由败诉方负担。</w:t>
      </w:r>
      <w:r/>
    </w:p>
    <w:p>
      <w:pPr>
        <w:ind w:firstLine="420"/>
        <w:spacing w:line="360" w:lineRule="auto"/>
        <w:rPr>
          <w:rFonts w:ascii="宋体" w:hAnsi="宋体"/>
        </w:rPr>
      </w:pPr>
      <w:r>
        <w:rPr>
          <w:rFonts w:hint="eastAsia" w:ascii="宋体" w:hAnsi="宋体"/>
        </w:rPr>
        <w:t xml:space="preserve">4.因合同部分履行引发诉讼的，在诉讼期间，除正在进行诉讼的部分外，本合同的其它部分应继续执行。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十五、违约终止合同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ascii="宋体" w:hAnsi="宋体"/>
        </w:rPr>
      </w:pPr>
      <w:r>
        <w:rPr>
          <w:rFonts w:hint="eastAsia" w:ascii="宋体" w:hAnsi="宋体"/>
        </w:rPr>
        <w:t xml:space="preserve">（1）如果乙方未能在合同规定的限期或甲方同意延长的限期内提供部分或全部货物和服务。</w:t>
      </w:r>
      <w:r/>
    </w:p>
    <w:p>
      <w:pPr>
        <w:ind w:firstLine="200"/>
        <w:spacing w:line="360" w:lineRule="auto"/>
        <w:rPr>
          <w:rFonts w:ascii="宋体" w:hAnsi="宋体"/>
        </w:rPr>
      </w:pPr>
      <w:r>
        <w:rPr>
          <w:rFonts w:hint="eastAsia" w:ascii="宋体" w:hAnsi="宋体"/>
        </w:rPr>
        <w:t xml:space="preserve">（2）如果乙方未能履行合同规定的其它任何义务。 </w:t>
      </w:r>
      <w:r/>
    </w:p>
    <w:p>
      <w:pPr>
        <w:ind w:firstLine="200"/>
        <w:spacing w:line="360" w:lineRule="auto"/>
        <w:rPr>
          <w:rFonts w:ascii="宋体" w:hAnsi="宋体"/>
        </w:rPr>
      </w:pPr>
      <w:r>
        <w:rPr>
          <w:rFonts w:hint="eastAsia" w:ascii="宋体" w:hAnsi="宋体"/>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ascii="宋体" w:hAnsi="宋体"/>
        </w:rPr>
      </w:pPr>
      <w:r>
        <w:rPr>
          <w:rFonts w:hint="eastAsia" w:ascii="宋体" w:hAnsi="宋体"/>
        </w:rPr>
        <w:t xml:space="preserve">3.如果甲方违约，应承担相应的违约责任。 </w:t>
      </w:r>
      <w:r/>
    </w:p>
    <w:p>
      <w:pPr>
        <w:ind w:firstLine="420"/>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十六、破产终止合同：</w:t>
      </w:r>
      <w:r>
        <w:rPr>
          <w:rFonts w:hint="eastAsia" w:ascii="宋体" w:hAnsi="宋体"/>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十七、政府采购法对政府采购合同变更终止的规定：政府采购合同的双方当事人（指甲乙双方）不得擅自变更、中止或者终止合同。政府采购合同继续履行将损害国家利益和社会公共利益的，双</w:t>
      </w:r>
      <w:r>
        <w:rPr>
          <w:rFonts w:hint="eastAsia" w:ascii="宋体" w:hAnsi="宋体"/>
        </w:rPr>
        <w:t xml:space="preserve">方当事人应当变更、中止或者终止合同。有过错的一方应当承担赔偿责任，双方都有过错的，各自承担相应的责任。 </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rPr>
      </w:pPr>
      <w:r>
        <w:rPr>
          <w:rFonts w:hint="eastAsia" w:ascii="宋体" w:hAnsi="宋体"/>
          <w:b/>
        </w:rPr>
        <w:t xml:space="preserve">十八、合同转让和分包：</w:t>
      </w:r>
      <w:r>
        <w:rPr>
          <w:rFonts w:hint="eastAsia" w:ascii="宋体" w:hAnsi="宋体"/>
        </w:rPr>
        <w:t xml:space="preserve">本项目不得转包、分包。</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rPr>
      </w:pPr>
      <w:r>
        <w:rPr>
          <w:rFonts w:hint="eastAsia" w:ascii="宋体" w:hAnsi="宋体"/>
          <w:b/>
        </w:rPr>
        <w:t xml:space="preserve">十九、需要补充的合同条款：</w:t>
      </w:r>
      <w:r>
        <w:rPr>
          <w:rFonts w:hint="eastAsia" w:ascii="宋体" w:hAnsi="宋体"/>
        </w:rPr>
        <w:t xml:space="preserve">（根据评标过程中或者商务谈判时商定的条款和条件在订立合同时标明）。</w:t>
      </w:r>
      <w:r/>
    </w:p>
    <w:p>
      <w:pPr>
        <w:ind w:firstLine="422"/>
        <w:spacing w:line="360" w:lineRule="auto"/>
        <w:rPr>
          <w:rFonts w:ascii="宋体" w:hAnsi="宋体"/>
        </w:rPr>
      </w:pPr>
      <w:r>
        <w:rPr>
          <w:rFonts w:hint="eastAsia" w:ascii="宋体" w:hAnsi="宋体"/>
          <w:b/>
        </w:rPr>
        <w:t xml:space="preserve">二十、合同生效 </w:t>
      </w:r>
      <w:r/>
    </w:p>
    <w:p>
      <w:pPr>
        <w:ind w:firstLine="420"/>
        <w:spacing w:line="360" w:lineRule="auto"/>
        <w:rPr>
          <w:rFonts w:ascii="宋体" w:hAnsi="宋体"/>
        </w:rPr>
      </w:pPr>
      <w:r>
        <w:rPr>
          <w:rFonts w:hint="eastAsia" w:ascii="宋体" w:hAnsi="宋体"/>
        </w:rPr>
        <w:t xml:space="preserve">1.双方签约人为各自法定代表人或被授权代表。</w:t>
      </w:r>
      <w:r/>
    </w:p>
    <w:p>
      <w:pPr>
        <w:ind w:firstLine="420"/>
        <w:spacing w:line="360" w:lineRule="auto"/>
        <w:rPr>
          <w:rFonts w:ascii="宋体" w:hAnsi="宋体"/>
        </w:rPr>
      </w:pPr>
      <w:r>
        <w:rPr>
          <w:rFonts w:hint="eastAsia" w:ascii="宋体" w:hAnsi="宋体"/>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本合同自甲乙双方签字盖章之日起生效。</w:t>
      </w:r>
      <w:r/>
    </w:p>
    <w:p>
      <w:pPr>
        <w:ind w:firstLine="420"/>
        <w:spacing w:line="360" w:lineRule="auto"/>
        <w:rPr>
          <w:rFonts w:ascii="宋体" w:hAnsi="宋体"/>
        </w:rPr>
      </w:pPr>
      <w:r>
        <w:rPr>
          <w:rFonts w:hint="eastAsia" w:ascii="宋体" w:hAnsi="宋体"/>
        </w:rPr>
        <w:t xml:space="preserve">4.本合同壹式</w:t>
      </w:r>
      <w:r>
        <w:rPr>
          <w:rFonts w:hint="eastAsia" w:ascii="宋体" w:hAnsi="宋体"/>
          <w:b/>
        </w:rPr>
        <w:t xml:space="preserve">肆</w:t>
      </w:r>
      <w:r>
        <w:rPr>
          <w:rFonts w:hint="eastAsia" w:ascii="宋体" w:hAnsi="宋体"/>
        </w:rPr>
        <w:t xml:space="preserve">份，甲乙双方各执</w:t>
      </w:r>
      <w:r>
        <w:rPr>
          <w:rFonts w:hint="eastAsia" w:ascii="宋体" w:hAnsi="宋体"/>
          <w:b/>
        </w:rPr>
        <w:t xml:space="preserve">贰</w:t>
      </w:r>
      <w:r>
        <w:rPr>
          <w:rFonts w:hint="eastAsia" w:ascii="宋体" w:hAnsi="宋体"/>
        </w:rPr>
        <w:t xml:space="preserve">份，各份具有同等法律效力。</w:t>
      </w:r>
      <w:r/>
    </w:p>
    <w:p>
      <w:pPr>
        <w:ind w:firstLine="420"/>
        <w:spacing w:line="360" w:lineRule="auto"/>
        <w:rPr>
          <w:rFonts w:ascii="宋体" w:hAnsi="宋体"/>
        </w:rPr>
      </w:pPr>
      <w:r>
        <w:rPr>
          <w:rFonts w:ascii="宋体" w:hAnsi="宋体"/>
        </w:rPr>
        <w:t xml:space="preserve">5</w:t>
      </w:r>
      <w:r>
        <w:rPr>
          <w:rFonts w:hint="eastAsia" w:ascii="宋体" w:hAnsi="宋体"/>
        </w:rPr>
        <w:t xml:space="preserve">.本合同应按照中华人民共和国的现行法律进行解释。</w:t>
      </w:r>
      <w:r/>
    </w:p>
    <w:p>
      <w:pPr>
        <w:ind w:firstLine="420"/>
        <w:spacing w:line="360" w:lineRule="auto"/>
        <w:rPr>
          <w:rFonts w:ascii="宋体" w:hAnsi="宋体"/>
        </w:rPr>
      </w:pPr>
      <w:r>
        <w:rPr>
          <w:rFonts w:ascii="宋体" w:hAnsi="宋体"/>
        </w:rPr>
        <w:t xml:space="preserve">6</w:t>
      </w:r>
      <w:r>
        <w:rPr>
          <w:rFonts w:hint="eastAsia" w:ascii="宋体" w:hAnsi="宋体"/>
        </w:rPr>
        <w:t xml:space="preserve">.合同修改：除甲乙双方签署书面修改、补充协议，并成为本合同不可分割的一部分之外，本合同条件不得有任何变化或修改。</w:t>
      </w:r>
      <w:r/>
    </w:p>
    <w:p>
      <w:pPr>
        <w:pStyle w:val="958"/>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58"/>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59"/>
        <w:ind w:firstLine="420"/>
      </w:pPr>
      <w:r/>
      <w:r/>
    </w:p>
    <w:p>
      <w:pPr>
        <w:spacing w:line="360" w:lineRule="auto"/>
        <w:rPr>
          <w:rFonts w:ascii="宋体" w:hAnsi="宋体" w:cs="宋体"/>
          <w:szCs w:val="21"/>
        </w:rPr>
      </w:pPr>
      <w:r>
        <w:rPr>
          <w:rFonts w:hint="eastAsia" w:ascii="宋体" w:hAnsi="宋体"/>
          <w:b/>
          <w:bCs/>
          <w:szCs w:val="21"/>
        </w:rPr>
        <w:t xml:space="preserve">合同签订日期： </w:t>
      </w:r>
      <w:r>
        <w:rPr>
          <w:rFonts w:hint="eastAsia" w:ascii="宋体" w:hAnsi="宋体"/>
          <w:b/>
          <w:bCs/>
          <w:szCs w:val="21"/>
          <w:lang w:val="zh-CN"/>
        </w:rPr>
        <w:t xml:space="preserve">     年月日                  </w:t>
      </w:r>
      <w:r>
        <w:rPr>
          <w:rFonts w:hint="eastAsia" w:ascii="宋体" w:hAnsi="宋体"/>
          <w:b/>
          <w:bCs/>
          <w:szCs w:val="21"/>
        </w:rPr>
        <w:t xml:space="preserve">合同签订日期： </w:t>
      </w:r>
      <w:r>
        <w:rPr>
          <w:rFonts w:hint="eastAsia" w:ascii="宋体" w:hAnsi="宋体"/>
          <w:b/>
          <w:bCs/>
          <w:szCs w:val="21"/>
          <w:lang w:val="zh-CN"/>
        </w:rPr>
        <w:t xml:space="preserve">     年月日</w:t>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pStyle w:val="936"/>
        <w:ind w:firstLine="522"/>
        <w:spacing w:line="360" w:lineRule="auto"/>
      </w:pPr>
      <w:r/>
      <w:r/>
    </w:p>
    <w:p>
      <w:pPr>
        <w:ind w:firstLine="420"/>
        <w:jc w:val="center"/>
        <w:spacing w:line="360" w:lineRule="auto"/>
        <w:rPr>
          <w:rFonts w:ascii="宋体" w:hAnsi="宋体"/>
          <w:sz w:val="32"/>
          <w:szCs w:val="32"/>
        </w:rPr>
      </w:pPr>
      <w:r>
        <w:rPr>
          <w:rFonts w:hint="eastAsia" w:ascii="宋体" w:hAnsi="宋体"/>
          <w:sz w:val="32"/>
          <w:szCs w:val="32"/>
        </w:rPr>
        <w:t xml:space="preserve">信息安全保密协议</w:t>
      </w:r>
      <w:r/>
    </w:p>
    <w:p>
      <w:pPr>
        <w:ind w:firstLine="420"/>
        <w:spacing w:line="360" w:lineRule="auto"/>
        <w:rPr>
          <w:rFonts w:ascii="宋体" w:hAnsi="宋体"/>
          <w:b/>
          <w:bCs/>
        </w:rPr>
      </w:pPr>
      <w:r>
        <w:rPr>
          <w:rFonts w:hint="eastAsia" w:ascii="宋体" w:hAnsi="宋体"/>
          <w:b/>
          <w:bCs/>
        </w:rPr>
        <w:t xml:space="preserve">甲方：</w:t>
      </w:r>
      <w:r/>
    </w:p>
    <w:p>
      <w:pPr>
        <w:ind w:firstLine="420"/>
        <w:spacing w:line="360" w:lineRule="auto"/>
        <w:rPr>
          <w:rFonts w:ascii="宋体" w:hAnsi="宋体"/>
          <w:b/>
          <w:bCs/>
        </w:rPr>
      </w:pPr>
      <w:r>
        <w:rPr>
          <w:rFonts w:hint="eastAsia" w:ascii="宋体" w:hAnsi="宋体"/>
          <w:b/>
          <w:bCs/>
        </w:rPr>
        <w:t xml:space="preserve">乙方：</w:t>
      </w:r>
      <w:r/>
    </w:p>
    <w:p>
      <w:pPr>
        <w:ind w:firstLine="420"/>
        <w:spacing w:line="360" w:lineRule="auto"/>
        <w:rPr>
          <w:rFonts w:ascii="宋体" w:hAnsi="宋体"/>
        </w:rPr>
      </w:pPr>
      <w:r>
        <w:rPr>
          <w:rFonts w:hint="eastAsia" w:ascii="宋体" w:hAnsi="宋体"/>
        </w:rPr>
        <w:t xml:space="preserve">甲、乙双方应遵守《中华人民共和国网络安全法》、《中华人民共和国计算机信息系统安全保护条例》等相关法律法规规定。</w:t>
      </w:r>
      <w:r/>
    </w:p>
    <w:p>
      <w:pPr>
        <w:ind w:firstLine="420"/>
        <w:spacing w:line="360" w:lineRule="auto"/>
        <w:rPr>
          <w:rFonts w:ascii="宋体" w:hAnsi="宋体"/>
        </w:rPr>
      </w:pPr>
      <w:r>
        <w:rPr>
          <w:rFonts w:hint="eastAsia" w:ascii="宋体" w:hAnsi="宋体"/>
        </w:rPr>
        <w:t xml:space="preserve">（一）信息安全保密内容和范围 </w:t>
      </w:r>
      <w:r/>
    </w:p>
    <w:p>
      <w:pPr>
        <w:ind w:firstLine="420"/>
        <w:spacing w:line="360" w:lineRule="auto"/>
        <w:rPr>
          <w:rFonts w:ascii="宋体" w:hAnsi="宋体"/>
        </w:rPr>
      </w:pPr>
      <w:r>
        <w:rPr>
          <w:rFonts w:hint="eastAsia" w:ascii="宋体" w:hAnsi="宋体"/>
        </w:rPr>
        <w:t xml:space="preserve">双方的技术情报、资料数据、商业秘密及所能接触到的任何信息。</w:t>
      </w:r>
      <w:r/>
    </w:p>
    <w:p>
      <w:pPr>
        <w:ind w:firstLine="420"/>
        <w:spacing w:line="360" w:lineRule="auto"/>
        <w:rPr>
          <w:rFonts w:ascii="宋体" w:hAnsi="宋体"/>
        </w:rPr>
      </w:pPr>
      <w:r>
        <w:rPr>
          <w:rFonts w:hint="eastAsia" w:ascii="宋体" w:hAnsi="宋体"/>
        </w:rPr>
        <w:t xml:space="preserve">（二）双方权利和义务</w:t>
      </w:r>
      <w:r/>
    </w:p>
    <w:p>
      <w:pPr>
        <w:ind w:firstLine="420"/>
        <w:spacing w:line="360" w:lineRule="auto"/>
        <w:rPr>
          <w:rFonts w:ascii="宋体" w:hAnsi="宋体"/>
        </w:rPr>
      </w:pPr>
      <w:r>
        <w:rPr>
          <w:rFonts w:hint="eastAsia" w:ascii="宋体" w:hAnsi="宋体"/>
        </w:rPr>
        <w:t xml:space="preserve">1.双方在未征得对方同意的情况下,不得向第三方泄露在项目中接触到的需要保密的文件及相关资料（包括附件）；</w:t>
      </w:r>
      <w:r/>
    </w:p>
    <w:p>
      <w:pPr>
        <w:ind w:firstLine="420"/>
        <w:spacing w:line="360" w:lineRule="auto"/>
        <w:rPr>
          <w:rFonts w:ascii="宋体" w:hAnsi="宋体"/>
        </w:rPr>
      </w:pPr>
      <w:r>
        <w:rPr>
          <w:rFonts w:hint="eastAsia" w:ascii="宋体" w:hAnsi="宋体"/>
        </w:rPr>
        <w:t xml:space="preserve">2.任何一方未征得对方同意,不得为任何其它目的而自行使用或允许他人使用从对方获得的任何信息；</w:t>
      </w:r>
      <w:r/>
    </w:p>
    <w:p>
      <w:pPr>
        <w:ind w:firstLine="420"/>
        <w:spacing w:line="360" w:lineRule="auto"/>
        <w:rPr>
          <w:rFonts w:ascii="宋体" w:hAnsi="宋体"/>
        </w:rPr>
      </w:pPr>
      <w:r>
        <w:rPr>
          <w:rFonts w:hint="eastAsia" w:ascii="宋体" w:hAnsi="宋体"/>
        </w:rPr>
        <w:t xml:space="preserve">3.双方在一致认同的情况下，对于本协议签订及履行过程中、项目的商谈及合作过程中所接触到的保密信息，履行信息安全义务、承担责任；</w:t>
      </w:r>
      <w:r/>
    </w:p>
    <w:p>
      <w:pPr>
        <w:ind w:firstLine="420"/>
        <w:spacing w:line="360" w:lineRule="auto"/>
        <w:rPr>
          <w:rFonts w:ascii="宋体" w:hAnsi="宋体"/>
        </w:rPr>
      </w:pPr>
      <w:r>
        <w:rPr>
          <w:rFonts w:hint="eastAsia" w:ascii="宋体" w:hAnsi="宋体"/>
        </w:rPr>
        <w:t xml:space="preserve">4.双方单位应对涉密人员（涉密人员包括双方参与及知悉项目的所有人员）加以保密教育,并对本方人员泄密行为负责；</w:t>
      </w:r>
      <w:r/>
    </w:p>
    <w:p>
      <w:pPr>
        <w:ind w:firstLine="420"/>
        <w:spacing w:line="360" w:lineRule="auto"/>
        <w:rPr>
          <w:rFonts w:ascii="宋体" w:hAnsi="宋体"/>
        </w:rPr>
      </w:pPr>
      <w:r>
        <w:rPr>
          <w:rFonts w:hint="eastAsia" w:ascii="宋体" w:hAnsi="宋体"/>
        </w:rPr>
        <w:t xml:space="preserve">6.获取对方数据需在征得对方同意的情况下才可实施。</w:t>
      </w:r>
      <w:r/>
    </w:p>
    <w:p>
      <w:pPr>
        <w:ind w:firstLine="420"/>
        <w:spacing w:line="360" w:lineRule="auto"/>
        <w:rPr>
          <w:rFonts w:ascii="宋体" w:hAnsi="宋体"/>
        </w:rPr>
      </w:pPr>
      <w:r>
        <w:rPr>
          <w:rFonts w:hint="eastAsia" w:ascii="宋体" w:hAnsi="宋体"/>
        </w:rPr>
        <w:t xml:space="preserve">（三）信息安全保密期限</w:t>
      </w:r>
      <w:r/>
    </w:p>
    <w:p>
      <w:pPr>
        <w:ind w:firstLine="420"/>
        <w:spacing w:line="360" w:lineRule="auto"/>
        <w:rPr>
          <w:rFonts w:ascii="宋体" w:hAnsi="宋体"/>
        </w:rPr>
      </w:pPr>
      <w:r>
        <w:rPr>
          <w:rFonts w:hint="eastAsia" w:ascii="宋体" w:hAnsi="宋体"/>
        </w:rPr>
        <w:t xml:space="preserve">1.自双方签署之日起至保密信息成为公开信息之日止。</w:t>
      </w:r>
      <w:r/>
    </w:p>
    <w:p>
      <w:pPr>
        <w:ind w:firstLine="420"/>
        <w:spacing w:line="360" w:lineRule="auto"/>
        <w:rPr>
          <w:rFonts w:ascii="宋体" w:hAnsi="宋体"/>
        </w:rPr>
      </w:pPr>
      <w:r>
        <w:rPr>
          <w:rFonts w:hint="eastAsia" w:ascii="宋体" w:hAnsi="宋体"/>
        </w:rPr>
        <w:t xml:space="preserve">2.合作终止后，保密义务持续有效，直至保密信息公开；</w:t>
      </w:r>
      <w:r/>
    </w:p>
    <w:p>
      <w:pPr>
        <w:ind w:firstLine="420"/>
        <w:spacing w:line="360" w:lineRule="auto"/>
        <w:rPr>
          <w:rFonts w:ascii="宋体" w:hAnsi="宋体"/>
        </w:rPr>
      </w:pPr>
      <w:r>
        <w:rPr>
          <w:rFonts w:hint="eastAsia" w:ascii="宋体" w:hAnsi="宋体"/>
        </w:rPr>
        <w:t xml:space="preserve">3.协议解除或终止的，不影响保密条款的独立性和继续履行。</w:t>
      </w:r>
      <w:r/>
    </w:p>
    <w:p>
      <w:pPr>
        <w:spacing w:line="360" w:lineRule="auto"/>
        <w:tabs>
          <w:tab w:val="left" w:pos="4253" w:leader="none"/>
        </w:tabs>
        <w:rPr>
          <w:rFonts w:ascii="仿宋" w:hAnsi="仿宋" w:eastAsia="仿宋" w:cs="Arial"/>
          <w:b/>
          <w:sz w:val="24"/>
        </w:rPr>
      </w:pPr>
      <w:r>
        <w:rPr>
          <w:rFonts w:ascii="仿宋" w:hAnsi="仿宋" w:eastAsia="仿宋" w:cs="Arial"/>
          <w:b/>
          <w:sz w:val="24"/>
        </w:rPr>
      </w:r>
      <w:r/>
    </w:p>
    <w:p>
      <w:pPr>
        <w:spacing w:line="360" w:lineRule="auto"/>
        <w:tabs>
          <w:tab w:val="left" w:pos="4253" w:leader="none"/>
        </w:tabs>
        <w:rPr>
          <w:rFonts w:ascii="仿宋" w:hAnsi="仿宋" w:eastAsia="仿宋" w:cs="Arial"/>
          <w:bCs/>
          <w:sz w:val="24"/>
          <w:u w:val="single"/>
        </w:rPr>
      </w:pPr>
      <w:r>
        <w:rPr>
          <w:rFonts w:hint="eastAsia" w:ascii="仿宋" w:hAnsi="仿宋" w:eastAsia="仿宋" w:cs="Arial"/>
          <w:b/>
          <w:sz w:val="24"/>
        </w:rPr>
        <w:t xml:space="preserve">甲    </w:t>
      </w:r>
      <w:r>
        <w:rPr>
          <w:rFonts w:ascii="仿宋" w:hAnsi="仿宋" w:eastAsia="仿宋" w:cs="Arial"/>
          <w:b/>
          <w:sz w:val="24"/>
        </w:rPr>
        <w:t xml:space="preserve">方</w:t>
      </w:r>
      <w:r>
        <w:rPr>
          <w:rFonts w:hint="eastAsia" w:ascii="仿宋" w:hAnsi="仿宋" w:eastAsia="仿宋" w:cs="Arial"/>
          <w:b/>
          <w:sz w:val="24"/>
        </w:rPr>
        <w:t xml:space="preserve">（公章或合同章）：</w:t>
      </w:r>
      <w:r>
        <w:rPr>
          <w:rFonts w:hint="eastAsia" w:ascii="仿宋" w:hAnsi="仿宋" w:eastAsia="仿宋" w:cs="Arial"/>
          <w:b/>
          <w:sz w:val="24"/>
        </w:rPr>
        <w:t xml:space="preserve">          </w:t>
      </w:r>
      <w:r>
        <w:rPr>
          <w:rFonts w:hint="eastAsia" w:ascii="仿宋" w:hAnsi="仿宋" w:eastAsia="仿宋" w:cs="Arial"/>
          <w:b/>
          <w:sz w:val="24"/>
        </w:rPr>
        <w:t xml:space="preserve">乙    </w:t>
      </w:r>
      <w:r>
        <w:rPr>
          <w:rFonts w:ascii="仿宋" w:hAnsi="仿宋" w:eastAsia="仿宋" w:cs="Arial"/>
          <w:b/>
          <w:sz w:val="24"/>
        </w:rPr>
        <w:t xml:space="preserve">方</w:t>
      </w:r>
      <w:r>
        <w:rPr>
          <w:rFonts w:hint="eastAsia" w:ascii="仿宋" w:hAnsi="仿宋" w:eastAsia="仿宋" w:cs="Arial"/>
          <w:b/>
          <w:sz w:val="24"/>
        </w:rPr>
        <w:t xml:space="preserve">（公章或合同章）</w:t>
      </w:r>
      <w:r>
        <w:rPr>
          <w:rFonts w:ascii="仿宋" w:hAnsi="仿宋" w:eastAsia="仿宋" w:cs="Arial"/>
          <w:b/>
          <w:sz w:val="24"/>
        </w:rPr>
        <w:t xml:space="preserve">：</w:t>
      </w:r>
      <w:r/>
    </w:p>
    <w:p>
      <w:pPr>
        <w:rPr>
          <w:rFonts w:ascii="仿宋" w:hAnsi="仿宋" w:eastAsia="仿宋" w:cs="Arial"/>
          <w:bCs/>
          <w:sz w:val="24"/>
          <w:u w:val="single"/>
        </w:rPr>
      </w:pPr>
      <w:r>
        <w:rPr>
          <w:rFonts w:ascii="仿宋" w:hAnsi="仿宋" w:eastAsia="仿宋" w:cs="Arial"/>
          <w:b/>
          <w:sz w:val="24"/>
        </w:rPr>
        <w:t xml:space="preserve">授权代表：</w:t>
      </w:r>
      <w:r>
        <w:rPr>
          <w:rFonts w:hint="eastAsia" w:ascii="仿宋" w:hAnsi="仿宋" w:eastAsia="仿宋" w:cs="Arial"/>
          <w:b/>
          <w:sz w:val="24"/>
        </w:rPr>
        <w:t xml:space="preserve">                          </w:t>
      </w:r>
      <w:r>
        <w:rPr>
          <w:rFonts w:ascii="仿宋" w:hAnsi="仿宋" w:eastAsia="仿宋" w:cs="Arial"/>
          <w:b/>
          <w:sz w:val="24"/>
        </w:rPr>
        <w:t xml:space="preserve">授权代表：</w:t>
      </w:r>
      <w:r/>
    </w:p>
    <w:p>
      <w:pPr>
        <w:rPr>
          <w:rFonts w:ascii="仿宋" w:hAnsi="仿宋" w:eastAsia="仿宋" w:cs="Arial"/>
          <w:bCs/>
          <w:sz w:val="24"/>
          <w:u w:val="single"/>
        </w:rPr>
      </w:pPr>
      <w:r>
        <w:rPr>
          <w:rFonts w:hint="eastAsia" w:ascii="仿宋" w:hAnsi="仿宋" w:eastAsia="仿宋" w:cs="Arial"/>
          <w:b/>
          <w:sz w:val="24"/>
        </w:rPr>
        <w:t xml:space="preserve">签订日期</w:t>
      </w:r>
      <w:r>
        <w:rPr>
          <w:rFonts w:hint="eastAsia" w:ascii="仿宋" w:hAnsi="仿宋" w:eastAsia="仿宋" w:cs="Arial"/>
          <w:bCs/>
          <w:sz w:val="24"/>
        </w:rPr>
        <w:t xml:space="preserve">：</w:t>
      </w:r>
      <w:r/>
    </w:p>
    <w:p>
      <w:pPr>
        <w:pStyle w:val="936"/>
        <w:ind w:firstLine="522"/>
        <w:spacing w:line="360" w:lineRule="auto"/>
      </w:pPr>
      <w:r/>
      <w:r/>
    </w:p>
    <w:p>
      <w:pPr>
        <w:pStyle w:val="938"/>
        <w:ind w:firstLine="640"/>
        <w:jc w:val="center"/>
        <w:pageBreakBefore/>
        <w:spacing w:line="360" w:lineRule="auto"/>
        <w:tabs>
          <w:tab w:val="right" w:pos="8302" w:leader="dot"/>
        </w:tabs>
        <w:rPr>
          <w:rFonts w:ascii="宋体" w:hAnsi="宋体" w:eastAsia="宋体" w:cs="宋体"/>
          <w:b/>
          <w:sz w:val="32"/>
          <w:szCs w:val="32"/>
        </w:rPr>
      </w:pPr>
      <w:r>
        <w:rPr>
          <w:rStyle w:val="949"/>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（一）价格分：30分</w:t>
      </w:r>
      <w:r/>
    </w:p>
    <w:p>
      <w:pPr>
        <w:ind w:firstLine="422"/>
        <w:spacing w:line="360" w:lineRule="auto"/>
        <w:rPr>
          <w:rFonts w:ascii="宋体" w:hAnsi="宋体" w:cs="宋体"/>
          <w:szCs w:val="21"/>
        </w:rPr>
      </w:pPr>
      <w:r>
        <w:rPr>
          <w:rFonts w:hint="eastAsia" w:ascii="宋体" w:hAnsi="宋体" w:cs="宋体"/>
          <w:szCs w:val="21"/>
        </w:rPr>
        <w:t xml:space="preserve">第一步：投标总报价低于或等于预算金额（最高限价）的，为有效投标报价。超预算金额（最高限价）的投标报价为无效投标报价。无效投标报价的投标文件不进行评审，也不得标。</w:t>
      </w:r>
      <w:r/>
    </w:p>
    <w:p>
      <w:pPr>
        <w:ind w:firstLine="422"/>
        <w:spacing w:line="360" w:lineRule="auto"/>
        <w:rPr>
          <w:rFonts w:ascii="宋体" w:hAnsi="宋体" w:cs="宋体"/>
          <w:szCs w:val="21"/>
        </w:rPr>
      </w:pPr>
      <w:r>
        <w:rPr>
          <w:rFonts w:hint="eastAsia" w:ascii="宋体" w:hAnsi="宋体" w:cs="宋体"/>
          <w:szCs w:val="21"/>
        </w:rPr>
        <w:t xml:space="preserve">第二步：价格分采用低价优先法计算，即满足招标文件要求且投标价格最低的投标报价为评标基准价，其价格分为满分30分。其他投标人的价格分统一按照下列公式计算：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rPr>
        <w:t xml:space="preserve">投标报价得分＝（评标基准价/投标报价）×30％×100（小数点后保留两位）。</w:t>
      </w:r>
      <w:r/>
    </w:p>
    <w:p>
      <w:pPr>
        <w:ind w:firstLine="422"/>
        <w:spacing w:line="360" w:lineRule="auto"/>
        <w:rPr>
          <w:rFonts w:ascii="宋体" w:hAnsi="宋体" w:cs="宋体"/>
          <w:b/>
          <w:bCs/>
          <w:szCs w:val="21"/>
        </w:rPr>
      </w:pPr>
      <w:r>
        <w:rPr>
          <w:rFonts w:hint="eastAsia" w:ascii="宋体" w:hAnsi="宋体" w:cs="宋体"/>
          <w:b/>
          <w:bCs/>
          <w:szCs w:val="21"/>
        </w:rPr>
        <w:t xml:space="preserve">（二）技术方案及实施方案：32分</w:t>
      </w:r>
      <w:r/>
    </w:p>
    <w:p>
      <w:pPr>
        <w:ind w:firstLine="422"/>
        <w:spacing w:line="360" w:lineRule="auto"/>
        <w:rPr>
          <w:rFonts w:ascii="宋体" w:hAnsi="宋体" w:cs="宋体"/>
          <w:szCs w:val="21"/>
        </w:rPr>
      </w:pPr>
      <w:r>
        <w:rPr>
          <w:rFonts w:hint="eastAsia" w:ascii="宋体" w:hAnsi="宋体" w:cs="宋体"/>
          <w:szCs w:val="21"/>
        </w:rPr>
        <w:t xml:space="preserve">1、产品整体设计方案（8分）</w:t>
      </w:r>
      <w:r/>
    </w:p>
    <w:p>
      <w:pPr>
        <w:ind w:firstLine="422"/>
        <w:spacing w:line="360" w:lineRule="auto"/>
        <w:rPr>
          <w:rFonts w:ascii="宋体" w:hAnsi="宋体" w:cs="宋体"/>
          <w:szCs w:val="21"/>
        </w:rPr>
      </w:pPr>
      <w:r>
        <w:rPr>
          <w:rFonts w:hint="eastAsia" w:ascii="宋体" w:hAnsi="宋体" w:cs="宋体"/>
          <w:szCs w:val="21"/>
        </w:rPr>
        <w:t xml:space="preserve">基于招标文件的采购内容和要求，结合采购人需求，对本项目业务现状、项目需求理解等提出与本项目相对应的完整技术方案（8分）</w:t>
      </w:r>
      <w:r/>
    </w:p>
    <w:p>
      <w:pPr>
        <w:ind w:firstLine="422"/>
        <w:spacing w:line="360" w:lineRule="auto"/>
        <w:rPr>
          <w:rFonts w:ascii="宋体" w:hAnsi="宋体" w:cs="宋体"/>
          <w:szCs w:val="21"/>
        </w:rPr>
      </w:pPr>
      <w:r>
        <w:rPr>
          <w:rFonts w:hint="eastAsia" w:ascii="宋体" w:hAnsi="宋体" w:cs="宋体"/>
          <w:szCs w:val="21"/>
        </w:rPr>
        <w:t xml:space="preserve">技术方案内容完整、考虑周全，有合理化建议、贴合项目实际的得8分；技术方案内容比较完整，能达到业务需求，具有一定操作性的得5分；技术方案简单，内容表述不完整，可操作性差的得2分；</w:t>
      </w:r>
      <w:r>
        <w:rPr>
          <w:rFonts w:hint="eastAsia" w:ascii="宋体" w:hAnsi="宋体" w:cs="宋体"/>
          <w:szCs w:val="21"/>
          <w:lang w:val="en-GB"/>
        </w:rPr>
        <w:t xml:space="preserve">未提供或所提供的方案完全不匹配项目实际情况，且不具备可操作性的，</w:t>
      </w:r>
      <w:r>
        <w:rPr>
          <w:rFonts w:hint="eastAsia" w:ascii="宋体" w:hAnsi="宋体" w:cs="宋体"/>
          <w:szCs w:val="21"/>
        </w:rPr>
        <w:t xml:space="preserve">不得分</w:t>
      </w:r>
      <w:r>
        <w:rPr>
          <w:rFonts w:hint="eastAsia" w:ascii="宋体" w:hAnsi="宋体" w:cs="宋体"/>
          <w:szCs w:val="21"/>
          <w:lang w:val="en-GB"/>
        </w:rPr>
        <w:t xml:space="preserve">。</w:t>
      </w:r>
      <w:r/>
    </w:p>
    <w:p>
      <w:pPr>
        <w:ind w:firstLine="422"/>
        <w:spacing w:line="360" w:lineRule="auto"/>
        <w:rPr>
          <w:rFonts w:ascii="宋体" w:hAnsi="宋体" w:cs="宋体"/>
          <w:szCs w:val="21"/>
        </w:rPr>
      </w:pPr>
      <w:r>
        <w:rPr>
          <w:rFonts w:hint="eastAsia" w:ascii="宋体" w:hAnsi="宋体" w:cs="宋体"/>
          <w:szCs w:val="21"/>
        </w:rPr>
        <w:t xml:space="preserve">2、实施方案（8分）</w:t>
      </w:r>
      <w:r/>
    </w:p>
    <w:p>
      <w:pPr>
        <w:ind w:firstLine="422"/>
        <w:spacing w:line="360" w:lineRule="auto"/>
        <w:rPr>
          <w:rFonts w:ascii="宋体" w:hAnsi="宋体" w:cs="宋体"/>
          <w:szCs w:val="21"/>
        </w:rPr>
      </w:pPr>
      <w:r>
        <w:rPr>
          <w:rFonts w:hint="eastAsia" w:ascii="宋体" w:hAnsi="宋体" w:cs="宋体"/>
          <w:szCs w:val="21"/>
        </w:rPr>
        <w:t xml:space="preserve">根据项目建设周期安排、项目组织结构、职责分工、质量保证措施、验收方案是否合理、可行等进行综合评审。</w:t>
      </w:r>
      <w:r/>
    </w:p>
    <w:p>
      <w:pPr>
        <w:ind w:firstLine="422"/>
        <w:spacing w:line="360" w:lineRule="auto"/>
        <w:rPr>
          <w:rFonts w:ascii="宋体" w:hAnsi="宋体" w:cs="宋体"/>
          <w:szCs w:val="21"/>
        </w:rPr>
      </w:pPr>
      <w:r>
        <w:rPr>
          <w:rFonts w:hint="eastAsia" w:ascii="宋体" w:hAnsi="宋体" w:cs="宋体"/>
          <w:szCs w:val="21"/>
        </w:rPr>
        <w:t xml:space="preserve">项目实施的建设周期安排合理可行、项目组织结构及分工清晰、质量保证措施丰富有效、针对</w:t>
      </w:r>
      <w:r>
        <w:rPr>
          <w:rFonts w:hint="eastAsia" w:ascii="宋体" w:hAnsi="宋体" w:cs="宋体"/>
          <w:szCs w:val="21"/>
        </w:rPr>
        <w:t xml:space="preserve">性强，试运行及验收方案符合相关规范文件要求的，得8分；项目实施的建设周期安排、项目组织结构及分工、质量保证措施等较完整，但针对性、科学性一般的，5分；项目实施的建设周期安排、项目组织保障、质量管控措施等有较多缺漏的，得2分；</w:t>
      </w:r>
      <w:r>
        <w:rPr>
          <w:rFonts w:hint="eastAsia" w:ascii="宋体" w:hAnsi="宋体" w:cs="宋体"/>
          <w:szCs w:val="21"/>
          <w:lang w:val="en-GB"/>
        </w:rPr>
        <w:t xml:space="preserve">未提供或所提供的方案完全不匹配项目实际情况，且不具备可操作性的，</w:t>
      </w:r>
      <w:r>
        <w:rPr>
          <w:rFonts w:hint="eastAsia" w:ascii="宋体" w:hAnsi="宋体" w:cs="宋体"/>
          <w:szCs w:val="21"/>
        </w:rPr>
        <w:t xml:space="preserve">不得分</w:t>
      </w:r>
      <w:r>
        <w:rPr>
          <w:rFonts w:hint="eastAsia" w:ascii="宋体" w:hAnsi="宋体" w:cs="宋体"/>
          <w:szCs w:val="21"/>
          <w:lang w:val="en-GB"/>
        </w:rPr>
        <w:t xml:space="preserve">。</w:t>
      </w:r>
      <w:r/>
    </w:p>
    <w:p>
      <w:pPr>
        <w:ind w:firstLine="422"/>
        <w:spacing w:line="360" w:lineRule="auto"/>
        <w:rPr>
          <w:rFonts w:ascii="宋体" w:hAnsi="宋体" w:cs="宋体"/>
          <w:szCs w:val="21"/>
        </w:rPr>
      </w:pPr>
      <w:r>
        <w:rPr>
          <w:rFonts w:hint="eastAsia" w:ascii="宋体" w:hAnsi="宋体" w:cs="宋体"/>
          <w:szCs w:val="21"/>
        </w:rPr>
        <w:t xml:space="preserve">3、服务方案（8分）</w:t>
      </w:r>
      <w:r/>
    </w:p>
    <w:p>
      <w:pPr>
        <w:ind w:firstLine="422"/>
        <w:spacing w:line="360" w:lineRule="auto"/>
        <w:rPr>
          <w:rFonts w:ascii="宋体" w:hAnsi="宋体" w:cs="宋体"/>
          <w:szCs w:val="21"/>
        </w:rPr>
      </w:pPr>
      <w:r>
        <w:rPr>
          <w:rFonts w:hint="eastAsia" w:ascii="宋体" w:hAnsi="宋体" w:cs="宋体"/>
          <w:szCs w:val="21"/>
        </w:rPr>
        <w:t xml:space="preserve">根据投标人售后服务方案，售后服务方案（需服务流程清晰、服务组织架构明确、服务人员齐备等）进行综合评审。</w:t>
      </w:r>
      <w:r/>
    </w:p>
    <w:p>
      <w:pPr>
        <w:ind w:firstLine="422"/>
        <w:spacing w:line="360" w:lineRule="auto"/>
        <w:rPr>
          <w:rFonts w:ascii="宋体" w:hAnsi="宋体" w:cs="宋体"/>
          <w:szCs w:val="21"/>
          <w:lang w:val="en-GB"/>
        </w:rPr>
      </w:pPr>
      <w:r>
        <w:rPr>
          <w:rFonts w:hint="eastAsia" w:ascii="宋体" w:hAnsi="宋体" w:cs="宋体"/>
          <w:szCs w:val="21"/>
        </w:rPr>
        <w:t xml:space="preserve">方案内容完整详细、逻辑清晰、架构合理性、实用性强，得8分；方案内容较为完整详细、逻辑较清晰、架构合理性、实用性较强，得5分；方案内容简单不完整、逻辑不清晰、架构缺乏合理性、实用性，得2分；</w:t>
      </w:r>
      <w:r>
        <w:rPr>
          <w:rFonts w:hint="eastAsia" w:ascii="宋体" w:hAnsi="宋体" w:cs="宋体"/>
          <w:szCs w:val="21"/>
          <w:lang w:val="en-GB"/>
        </w:rPr>
        <w:t xml:space="preserve">未提供或所提供的方案完全不匹配项目实际情况，且不具备可操作性的，</w:t>
      </w:r>
      <w:r>
        <w:rPr>
          <w:rFonts w:hint="eastAsia" w:ascii="宋体" w:hAnsi="宋体" w:cs="宋体"/>
          <w:szCs w:val="21"/>
        </w:rPr>
        <w:t xml:space="preserve">不得分</w:t>
      </w:r>
      <w:r>
        <w:rPr>
          <w:rFonts w:hint="eastAsia" w:ascii="宋体" w:hAnsi="宋体" w:cs="宋体"/>
          <w:szCs w:val="21"/>
          <w:lang w:val="en-GB"/>
        </w:rPr>
        <w:t xml:space="preserve">。</w:t>
      </w:r>
      <w:r/>
    </w:p>
    <w:p>
      <w:pPr>
        <w:ind w:firstLine="422"/>
        <w:spacing w:line="360" w:lineRule="auto"/>
        <w:rPr>
          <w:rFonts w:ascii="宋体" w:hAnsi="宋体" w:cs="宋体"/>
          <w:szCs w:val="21"/>
        </w:rPr>
      </w:pPr>
      <w:r>
        <w:rPr>
          <w:rFonts w:hint="eastAsia" w:ascii="宋体" w:hAnsi="宋体" w:cs="宋体"/>
          <w:szCs w:val="21"/>
        </w:rPr>
        <w:t xml:space="preserve">4、项目维护及应急管理方案（8分）</w:t>
      </w:r>
      <w:r/>
    </w:p>
    <w:p>
      <w:pPr>
        <w:ind w:firstLine="422"/>
        <w:spacing w:line="360" w:lineRule="auto"/>
        <w:rPr>
          <w:rFonts w:ascii="宋体" w:hAnsi="宋体" w:cs="宋体"/>
          <w:szCs w:val="21"/>
        </w:rPr>
      </w:pPr>
      <w:r>
        <w:rPr>
          <w:rFonts w:hint="eastAsia" w:ascii="宋体" w:hAnsi="宋体" w:cs="宋体"/>
          <w:szCs w:val="21"/>
        </w:rPr>
        <w:t xml:space="preserve">根据投标人提供的项目管理方案（需包含项目范围管理、项目进度管理、项目风险管理、项目应急管理等）进行综合评审。</w:t>
      </w:r>
      <w:r/>
    </w:p>
    <w:p>
      <w:pPr>
        <w:ind w:firstLine="422"/>
        <w:spacing w:line="360" w:lineRule="auto"/>
        <w:rPr>
          <w:rFonts w:ascii="宋体" w:hAnsi="宋体" w:cs="宋体"/>
          <w:szCs w:val="21"/>
        </w:rPr>
      </w:pPr>
      <w:r>
        <w:rPr>
          <w:rFonts w:hint="eastAsia" w:ascii="宋体" w:hAnsi="宋体" w:cs="宋体"/>
          <w:szCs w:val="21"/>
        </w:rPr>
        <w:t xml:space="preserve">方案内容完整详细、逻辑清晰、架构合理性、实用性强，得8分；方案内容较为完整详细、逻辑较清晰、架构合理性、实用性较强，得5分；方案内容简单不完整、逻辑不清晰、架构缺乏合理性、实用性，得2分；未提供方案的不得分。</w:t>
      </w:r>
      <w:r/>
    </w:p>
    <w:p>
      <w:pPr>
        <w:ind w:firstLine="422"/>
        <w:spacing w:line="360" w:lineRule="auto"/>
        <w:rPr>
          <w:rFonts w:ascii="宋体" w:hAnsi="宋体" w:cs="宋体"/>
          <w:b/>
          <w:bCs/>
          <w:szCs w:val="21"/>
        </w:rPr>
      </w:pPr>
      <w:r>
        <w:rPr>
          <w:rFonts w:hint="eastAsia" w:ascii="宋体" w:hAnsi="宋体" w:cs="宋体"/>
          <w:b/>
          <w:bCs/>
          <w:szCs w:val="21"/>
        </w:rPr>
        <w:t xml:space="preserve">（三）技术功能响应情况：23分</w:t>
      </w:r>
      <w:r/>
    </w:p>
    <w:p>
      <w:pPr>
        <w:ind w:firstLine="422"/>
        <w:spacing w:line="360" w:lineRule="auto"/>
        <w:rPr>
          <w:rFonts w:ascii="宋体" w:hAnsi="宋体" w:cs="宋体"/>
          <w:szCs w:val="21"/>
        </w:rPr>
      </w:pPr>
      <w:r>
        <w:rPr>
          <w:rFonts w:hint="eastAsia" w:ascii="宋体" w:hAnsi="宋体" w:cs="宋体"/>
          <w:szCs w:val="21"/>
        </w:rPr>
        <w:t xml:space="preserve">根据投标人所投产品的技术参数对招标文件采购需求中各项技术参数的逐项投标响应情况，由评委进行综合评审：</w:t>
      </w:r>
      <w:r>
        <w:rPr>
          <w:rFonts w:hint="eastAsia" w:ascii="宋体" w:hAnsi="宋体" w:cs="宋体"/>
          <w:b/>
          <w:bCs/>
          <w:szCs w:val="21"/>
        </w:rPr>
        <w:t xml:space="preserve">采购需求中“▲”号技术参数为实质性要求，不允许负偏离，如有负偏离则视为无效投标</w:t>
      </w:r>
      <w:r>
        <w:rPr>
          <w:rFonts w:hint="eastAsia" w:ascii="宋体" w:hAnsi="宋体" w:cs="宋体"/>
          <w:szCs w:val="21"/>
        </w:rPr>
        <w:t xml:space="preserve">；带“★”号技术参数，每一项负偏离扣2分；其他非“▲”、“★”号技术参数，每一项负偏离扣1分，扣完为止。</w:t>
      </w:r>
      <w:r/>
    </w:p>
    <w:p>
      <w:pPr>
        <w:ind w:firstLine="422"/>
        <w:spacing w:line="360" w:lineRule="auto"/>
        <w:rPr>
          <w:rFonts w:ascii="宋体" w:hAnsi="宋体" w:cs="宋体"/>
          <w:szCs w:val="21"/>
        </w:rPr>
      </w:pPr>
      <w:r>
        <w:rPr>
          <w:rFonts w:hint="eastAsia" w:ascii="宋体" w:hAnsi="宋体" w:cs="宋体"/>
          <w:szCs w:val="21"/>
        </w:rPr>
        <w:t xml:space="preserve">注：“★”的技术参数需提供以下任意一种证明材料：1.具有检验（检测）资质机构出具的检验（检测）报告；2.产品功能界面截图；3.厂家官网截图证明（附网站查询网址）；4.产品彩页。以上证明材料需加盖投标人公章。未提供或提供材料不全的视为负偏离。</w:t>
      </w:r>
      <w:r/>
    </w:p>
    <w:p>
      <w:pPr>
        <w:ind w:firstLine="422"/>
        <w:spacing w:line="360" w:lineRule="auto"/>
        <w:rPr>
          <w:rFonts w:ascii="宋体" w:hAnsi="宋体" w:cs="宋体"/>
          <w:b/>
          <w:bCs/>
          <w:szCs w:val="21"/>
        </w:rPr>
      </w:pPr>
      <w:r>
        <w:rPr>
          <w:rFonts w:hint="eastAsia" w:ascii="宋体" w:hAnsi="宋体" w:cs="宋体"/>
          <w:b/>
          <w:bCs/>
          <w:szCs w:val="21"/>
        </w:rPr>
        <w:t xml:space="preserve">（四）针对本项目的人员配置情况：8分</w:t>
      </w:r>
      <w:r/>
    </w:p>
    <w:p>
      <w:pPr>
        <w:ind w:firstLine="422"/>
        <w:spacing w:line="360" w:lineRule="auto"/>
        <w:rPr>
          <w:rFonts w:ascii="宋体" w:hAnsi="宋体" w:cs="宋体"/>
          <w:szCs w:val="21"/>
        </w:rPr>
      </w:pPr>
      <w:r>
        <w:rPr>
          <w:rFonts w:hint="eastAsia" w:ascii="宋体" w:hAnsi="宋体" w:cs="宋体"/>
          <w:szCs w:val="21"/>
        </w:rPr>
        <w:t xml:space="preserve">1、项目经理（3分）</w:t>
      </w:r>
      <w:r/>
    </w:p>
    <w:p>
      <w:pPr>
        <w:ind w:firstLine="422"/>
        <w:spacing w:line="360" w:lineRule="auto"/>
        <w:rPr>
          <w:rFonts w:ascii="宋体" w:hAnsi="宋体" w:cs="宋体"/>
          <w:szCs w:val="21"/>
        </w:rPr>
      </w:pPr>
      <w:r>
        <w:rPr>
          <w:rFonts w:hint="eastAsia" w:ascii="宋体" w:hAnsi="宋体" w:cs="宋体"/>
          <w:szCs w:val="21"/>
        </w:rPr>
        <w:t xml:space="preserve">针对本项目的项目经理具备有效期内的项目管理专业人员能力等级证书、注册信息安全管理人员（CISO）证书、计算机类助理工程师职称证书，每提供一份得1分，最高得3分。</w:t>
      </w:r>
      <w:r/>
    </w:p>
    <w:p>
      <w:pPr>
        <w:ind w:firstLine="422"/>
        <w:spacing w:line="360" w:lineRule="auto"/>
        <w:rPr>
          <w:rFonts w:ascii="宋体" w:hAnsi="宋体" w:cs="宋体"/>
          <w:szCs w:val="21"/>
        </w:rPr>
      </w:pPr>
      <w:r>
        <w:rPr>
          <w:rFonts w:hint="eastAsia" w:ascii="宋体" w:hAnsi="宋体" w:cs="宋体"/>
          <w:szCs w:val="21"/>
        </w:rPr>
        <w:t xml:space="preserve">2、项目实施团队其他成员（除项目经理外）（5分）</w:t>
      </w:r>
      <w:r/>
    </w:p>
    <w:p>
      <w:pPr>
        <w:ind w:firstLine="422"/>
        <w:spacing w:line="360" w:lineRule="auto"/>
        <w:rPr>
          <w:rFonts w:ascii="宋体" w:hAnsi="宋体" w:cs="宋体"/>
          <w:szCs w:val="21"/>
        </w:rPr>
      </w:pPr>
      <w:r>
        <w:rPr>
          <w:rFonts w:hint="eastAsia" w:ascii="宋体" w:hAnsi="宋体" w:cs="宋体"/>
          <w:szCs w:val="21"/>
        </w:rPr>
        <w:t xml:space="preserve">（1）针对本项目的项目组人员具备有效期内的注册信息安全工程师CISE认证证书，每提供1人得1分，最高2分；</w:t>
      </w:r>
      <w:r/>
    </w:p>
    <w:p>
      <w:pPr>
        <w:ind w:firstLine="422"/>
        <w:spacing w:line="360" w:lineRule="auto"/>
        <w:rPr>
          <w:rFonts w:ascii="宋体" w:hAnsi="宋体" w:cs="宋体"/>
          <w:szCs w:val="21"/>
        </w:rPr>
      </w:pPr>
      <w:r>
        <w:rPr>
          <w:rFonts w:hint="eastAsia" w:ascii="宋体" w:hAnsi="宋体" w:cs="宋体"/>
          <w:szCs w:val="21"/>
        </w:rPr>
        <w:t xml:space="preserve">（2）针对本项目的项目组人员具备有效期内的</w:t>
      </w:r>
      <w:bookmarkStart w:id="76" w:name="_Hlk212655424"/>
      <w:r>
        <w:rPr>
          <w:rFonts w:hint="eastAsia" w:ascii="宋体" w:hAnsi="宋体" w:cs="宋体"/>
          <w:szCs w:val="21"/>
        </w:rPr>
        <w:t xml:space="preserve">计算机类助理工程师职称证书</w:t>
      </w:r>
      <w:bookmarkEnd w:id="76"/>
      <w:r>
        <w:rPr>
          <w:rFonts w:hint="eastAsia" w:ascii="宋体" w:hAnsi="宋体" w:cs="宋体"/>
          <w:szCs w:val="21"/>
        </w:rPr>
        <w:t xml:space="preserve">，每提供1人得1分，最高3分。 </w:t>
      </w:r>
      <w:r/>
    </w:p>
    <w:p>
      <w:pPr>
        <w:ind w:firstLine="422"/>
        <w:spacing w:line="360" w:lineRule="auto"/>
        <w:rPr>
          <w:rFonts w:ascii="宋体" w:hAnsi="宋体" w:cs="宋体"/>
          <w:szCs w:val="21"/>
        </w:rPr>
      </w:pPr>
      <w:r>
        <w:rPr>
          <w:rFonts w:hint="eastAsia" w:ascii="宋体" w:hAnsi="宋体" w:cs="宋体"/>
          <w:szCs w:val="21"/>
        </w:rPr>
        <w:t xml:space="preserve">注：投标文件中提供以上1-2项在人员证书复印件及投标单位为其缴纳的2026年3月至今任意一期的社保证明复印件，未提供相关资料或提供的资料不全不得分。同一人员不得重复计分。</w:t>
      </w:r>
      <w:r/>
    </w:p>
    <w:p>
      <w:pPr>
        <w:ind w:firstLine="422"/>
        <w:spacing w:line="360" w:lineRule="auto"/>
        <w:rPr>
          <w:rFonts w:ascii="宋体" w:hAnsi="宋体" w:cs="宋体"/>
          <w:b/>
          <w:bCs/>
          <w:szCs w:val="21"/>
        </w:rPr>
      </w:pPr>
      <w:r>
        <w:rPr>
          <w:rFonts w:hint="eastAsia" w:ascii="宋体" w:hAnsi="宋体" w:cs="宋体"/>
          <w:b/>
          <w:bCs/>
          <w:szCs w:val="21"/>
        </w:rPr>
        <w:t xml:space="preserve">（五）投标人综合履约能力：7分</w:t>
      </w:r>
      <w:r/>
    </w:p>
    <w:p>
      <w:pPr>
        <w:ind w:firstLine="422"/>
        <w:spacing w:line="360" w:lineRule="auto"/>
        <w:rPr>
          <w:rFonts w:ascii="宋体" w:hAnsi="宋体" w:cs="宋体"/>
          <w:szCs w:val="21"/>
        </w:rPr>
      </w:pPr>
      <w:r>
        <w:rPr>
          <w:rFonts w:hint="eastAsia" w:ascii="宋体" w:hAnsi="宋体" w:cs="宋体"/>
          <w:szCs w:val="21"/>
        </w:rPr>
        <w:t xml:space="preserve">1、体系认证情况：3分</w:t>
      </w:r>
      <w:r/>
    </w:p>
    <w:p>
      <w:pPr>
        <w:ind w:firstLine="422"/>
        <w:spacing w:line="360" w:lineRule="auto"/>
        <w:rPr>
          <w:rFonts w:ascii="宋体" w:hAnsi="宋体" w:cs="宋体"/>
          <w:szCs w:val="21"/>
          <w:lang w:val="zh-CN"/>
        </w:rPr>
      </w:pPr>
      <w:r>
        <w:rPr>
          <w:rFonts w:hint="eastAsia" w:ascii="宋体" w:hAnsi="宋体" w:cs="宋体"/>
          <w:szCs w:val="21"/>
        </w:rPr>
        <w:t xml:space="preserve">投标</w:t>
      </w:r>
      <w:r>
        <w:rPr>
          <w:rFonts w:hint="eastAsia" w:ascii="宋体" w:hAnsi="宋体" w:cs="宋体"/>
          <w:szCs w:val="21"/>
          <w:lang w:val="zh-CN"/>
        </w:rPr>
        <w:t xml:space="preserve">单位具有有效期内的质量管理体系认证证书、信息安全管理体系认证证书、信息技术服务管理体系认证证书</w:t>
      </w:r>
      <w:r>
        <w:rPr>
          <w:rFonts w:hint="eastAsia" w:ascii="宋体" w:hAnsi="宋体" w:cs="宋体"/>
          <w:szCs w:val="21"/>
        </w:rPr>
        <w:t xml:space="preserve">的，</w:t>
      </w:r>
      <w:r>
        <w:rPr>
          <w:rFonts w:hint="eastAsia" w:ascii="宋体" w:hAnsi="宋体" w:cs="宋体"/>
          <w:szCs w:val="21"/>
          <w:lang w:val="zh-CN"/>
        </w:rPr>
        <w:t xml:space="preserve">每提供一个得</w:t>
      </w:r>
      <w:r>
        <w:rPr>
          <w:rFonts w:hint="eastAsia" w:ascii="宋体" w:hAnsi="宋体" w:cs="宋体"/>
          <w:szCs w:val="21"/>
        </w:rPr>
        <w:t xml:space="preserve">1</w:t>
      </w:r>
      <w:r>
        <w:rPr>
          <w:rFonts w:hint="eastAsia" w:ascii="宋体" w:hAnsi="宋体" w:cs="宋体"/>
          <w:szCs w:val="21"/>
          <w:lang w:val="zh-CN"/>
        </w:rPr>
        <w:t xml:space="preserve">分，最高得</w:t>
      </w:r>
      <w:r>
        <w:rPr>
          <w:rFonts w:hint="eastAsia" w:ascii="宋体" w:hAnsi="宋体" w:cs="宋体"/>
          <w:szCs w:val="21"/>
        </w:rPr>
        <w:t xml:space="preserve">3</w:t>
      </w:r>
      <w:r>
        <w:rPr>
          <w:rFonts w:hint="eastAsia" w:ascii="宋体" w:hAnsi="宋体" w:cs="宋体"/>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投标</w:t>
      </w:r>
      <w:r>
        <w:rPr>
          <w:rFonts w:hint="eastAsia" w:ascii="宋体" w:hAnsi="宋体" w:cs="宋体"/>
          <w:szCs w:val="21"/>
          <w:lang w:val="zh-CN"/>
        </w:rPr>
        <w:t xml:space="preserve">文件中提供证书复印件，同时需提供该证书在中国国家认证认可监督管理委员会网站http://www.cnca.gov.cn/上查询的页面截图。材料不提供或提供不全或无法认定的，对应评分项不得分</w:t>
      </w:r>
      <w:r/>
    </w:p>
    <w:p>
      <w:pPr>
        <w:ind w:firstLine="422"/>
        <w:spacing w:line="360" w:lineRule="auto"/>
        <w:rPr>
          <w:rFonts w:ascii="宋体" w:hAnsi="宋体" w:cs="宋体"/>
          <w:szCs w:val="21"/>
        </w:rPr>
      </w:pPr>
      <w:r>
        <w:rPr>
          <w:rFonts w:hint="eastAsia" w:ascii="宋体" w:hAnsi="宋体" w:cs="宋体"/>
          <w:szCs w:val="21"/>
        </w:rPr>
        <w:t xml:space="preserve">2、类似业绩：4分</w:t>
      </w:r>
      <w:r/>
    </w:p>
    <w:p>
      <w:pPr>
        <w:ind w:firstLine="422"/>
        <w:spacing w:line="360" w:lineRule="auto"/>
        <w:rPr>
          <w:rFonts w:ascii="宋体" w:hAnsi="宋体" w:cs="宋体"/>
          <w:szCs w:val="21"/>
        </w:rPr>
      </w:pPr>
      <w:r>
        <w:rPr>
          <w:rFonts w:hint="eastAsia" w:ascii="宋体" w:hAnsi="宋体" w:cs="宋体"/>
          <w:szCs w:val="21"/>
        </w:rPr>
        <w:t xml:space="preserve">2023年1月1日至今（以合同签订时间为准）投标人具有类似项目经验的，每提供一个得2分，最高得4分。</w:t>
      </w:r>
      <w:r/>
    </w:p>
    <w:p>
      <w:pPr>
        <w:ind w:firstLine="422"/>
        <w:spacing w:line="360" w:lineRule="auto"/>
        <w:rPr>
          <w:rFonts w:ascii="宋体" w:hAnsi="宋体" w:cs="宋体"/>
          <w:szCs w:val="21"/>
        </w:rPr>
      </w:pPr>
      <w:r>
        <w:rPr>
          <w:rFonts w:hint="eastAsia" w:ascii="宋体" w:hAnsi="宋体" w:cs="宋体"/>
          <w:szCs w:val="21"/>
        </w:rPr>
        <w:t xml:space="preserve">注：投标文件中需提供相关业绩的合同复印件，否则不得分。</w:t>
      </w:r>
      <w:r/>
    </w:p>
    <w:p>
      <w:pPr>
        <w:ind w:firstLine="420"/>
        <w:widowControl/>
        <w:rPr>
          <w:rFonts w:cs="宋体"/>
          <w:szCs w:val="20"/>
        </w:rPr>
      </w:pPr>
      <w:r>
        <w:rPr>
          <w:rFonts w:cs="宋体"/>
          <w:szCs w:val="20"/>
        </w:rPr>
      </w:r>
      <w:r/>
    </w:p>
    <w:p>
      <w:pPr>
        <w:ind w:firstLine="420"/>
        <w:spacing w:line="360" w:lineRule="auto"/>
        <w:widowControl/>
        <w:rPr>
          <w:rFonts w:cs="宋体"/>
          <w:szCs w:val="20"/>
        </w:rPr>
      </w:pPr>
      <w:r>
        <w:rPr>
          <w:rFonts w:hint="eastAsia" w:cs="宋体"/>
          <w:szCs w:val="20"/>
        </w:rPr>
        <w:t xml:space="preserve">备注：</w:t>
      </w:r>
      <w:r/>
    </w:p>
    <w:p>
      <w:pPr>
        <w:ind w:firstLine="420"/>
        <w:spacing w:line="360" w:lineRule="auto"/>
        <w:widowControl/>
        <w:rPr>
          <w:rFonts w:cs="宋体"/>
          <w:szCs w:val="20"/>
        </w:rPr>
      </w:pPr>
      <w:r>
        <w:rPr>
          <w:rFonts w:hint="eastAsia" w:cs="宋体"/>
          <w:szCs w:val="20"/>
        </w:rPr>
        <w:t xml:space="preserve">1.</w:t>
      </w:r>
      <w:r>
        <w:rPr>
          <w:rFonts w:hint="eastAsia" w:cs="宋体"/>
          <w:szCs w:val="20"/>
        </w:rPr>
        <w:t xml:space="preserve">针对评分标准中评分的每一条，投标人均应提供相关资料并作出相应说明供评委评判，不提供相关资料的视为不具备该项得分的条件。</w:t>
      </w:r>
      <w:r/>
    </w:p>
    <w:p>
      <w:pPr>
        <w:ind w:firstLine="420"/>
        <w:spacing w:line="360" w:lineRule="auto"/>
        <w:widowControl/>
        <w:rPr>
          <w:rFonts w:cs="宋体"/>
          <w:szCs w:val="20"/>
        </w:rPr>
      </w:pPr>
      <w:r>
        <w:rPr>
          <w:rFonts w:hint="eastAsia" w:cs="宋体"/>
          <w:szCs w:val="20"/>
        </w:rPr>
        <w:t xml:space="preserve">2.</w:t>
      </w:r>
      <w:r>
        <w:rPr>
          <w:rFonts w:hint="eastAsia" w:cs="宋体"/>
          <w:szCs w:val="20"/>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cs="宋体"/>
          <w:szCs w:val="20"/>
        </w:rPr>
        <w:t xml:space="preserve"> </w:t>
      </w:r>
      <w:r/>
    </w:p>
    <w:p>
      <w:pPr>
        <w:pStyle w:val="92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4"/>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5"/>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5"/>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5"/>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5"/>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标号：JSZC-320509-CJZB-G2026-0061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标号：JSZC-320509-CJZB-G2026-0061号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1"/>
    <w:link w:val="916"/>
    <w:uiPriority w:val="9"/>
    <w:rPr>
      <w:rFonts w:ascii="Arial" w:hAnsi="Arial" w:eastAsia="Arial" w:cs="Arial"/>
      <w:sz w:val="40"/>
      <w:szCs w:val="40"/>
    </w:rPr>
  </w:style>
  <w:style w:type="character" w:styleId="753">
    <w:name w:val="Heading 2 Char"/>
    <w:basedOn w:val="921"/>
    <w:link w:val="917"/>
    <w:uiPriority w:val="9"/>
    <w:rPr>
      <w:rFonts w:ascii="Arial" w:hAnsi="Arial" w:eastAsia="Arial" w:cs="Arial"/>
      <w:sz w:val="34"/>
    </w:rPr>
  </w:style>
  <w:style w:type="character" w:styleId="754">
    <w:name w:val="Heading 3 Char"/>
    <w:basedOn w:val="921"/>
    <w:link w:val="918"/>
    <w:uiPriority w:val="9"/>
    <w:rPr>
      <w:rFonts w:ascii="Arial" w:hAnsi="Arial" w:eastAsia="Arial" w:cs="Arial"/>
      <w:sz w:val="30"/>
      <w:szCs w:val="30"/>
    </w:rPr>
  </w:style>
  <w:style w:type="paragraph" w:styleId="755">
    <w:name w:val="Heading 4"/>
    <w:basedOn w:val="915"/>
    <w:next w:val="915"/>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1"/>
    <w:link w:val="755"/>
    <w:uiPriority w:val="9"/>
    <w:rPr>
      <w:rFonts w:ascii="Arial" w:hAnsi="Arial" w:eastAsia="Arial" w:cs="Arial"/>
      <w:b/>
      <w:bCs/>
      <w:sz w:val="26"/>
      <w:szCs w:val="26"/>
    </w:rPr>
  </w:style>
  <w:style w:type="character" w:styleId="757">
    <w:name w:val="Heading 5 Char"/>
    <w:basedOn w:val="921"/>
    <w:link w:val="919"/>
    <w:uiPriority w:val="9"/>
    <w:rPr>
      <w:rFonts w:ascii="Arial" w:hAnsi="Arial" w:eastAsia="Arial" w:cs="Arial"/>
      <w:b/>
      <w:bCs/>
      <w:sz w:val="24"/>
      <w:szCs w:val="24"/>
    </w:rPr>
  </w:style>
  <w:style w:type="character" w:styleId="758">
    <w:name w:val="Heading 6 Char"/>
    <w:basedOn w:val="921"/>
    <w:link w:val="920"/>
    <w:uiPriority w:val="9"/>
    <w:rPr>
      <w:rFonts w:ascii="Arial" w:hAnsi="Arial" w:eastAsia="Arial" w:cs="Arial"/>
      <w:b/>
      <w:bCs/>
      <w:sz w:val="22"/>
      <w:szCs w:val="22"/>
    </w:rPr>
  </w:style>
  <w:style w:type="paragraph" w:styleId="759">
    <w:name w:val="Heading 7"/>
    <w:basedOn w:val="915"/>
    <w:next w:val="91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1"/>
    <w:link w:val="759"/>
    <w:uiPriority w:val="9"/>
    <w:rPr>
      <w:rFonts w:ascii="Arial" w:hAnsi="Arial" w:eastAsia="Arial" w:cs="Arial"/>
      <w:b/>
      <w:bCs/>
      <w:i/>
      <w:iCs/>
      <w:sz w:val="22"/>
      <w:szCs w:val="22"/>
    </w:rPr>
  </w:style>
  <w:style w:type="paragraph" w:styleId="761">
    <w:name w:val="Heading 8"/>
    <w:basedOn w:val="915"/>
    <w:next w:val="91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1"/>
    <w:link w:val="761"/>
    <w:uiPriority w:val="9"/>
    <w:rPr>
      <w:rFonts w:ascii="Arial" w:hAnsi="Arial" w:eastAsia="Arial" w:cs="Arial"/>
      <w:i/>
      <w:iCs/>
      <w:sz w:val="22"/>
      <w:szCs w:val="22"/>
    </w:rPr>
  </w:style>
  <w:style w:type="paragraph" w:styleId="763">
    <w:name w:val="Heading 9"/>
    <w:basedOn w:val="915"/>
    <w:next w:val="91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1"/>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5"/>
    <w:next w:val="915"/>
    <w:link w:val="767"/>
    <w:uiPriority w:val="10"/>
    <w:qFormat/>
    <w:pPr>
      <w:contextualSpacing/>
      <w:spacing w:before="300" w:after="200"/>
    </w:pPr>
    <w:rPr>
      <w:sz w:val="48"/>
      <w:szCs w:val="48"/>
    </w:rPr>
  </w:style>
  <w:style w:type="character" w:styleId="767">
    <w:name w:val="Title Char"/>
    <w:basedOn w:val="921"/>
    <w:link w:val="766"/>
    <w:uiPriority w:val="10"/>
    <w:rPr>
      <w:sz w:val="48"/>
      <w:szCs w:val="48"/>
    </w:rPr>
  </w:style>
  <w:style w:type="character" w:styleId="768">
    <w:name w:val="Subtitle Char"/>
    <w:basedOn w:val="921"/>
    <w:link w:val="940"/>
    <w:uiPriority w:val="11"/>
    <w:rPr>
      <w:sz w:val="24"/>
      <w:szCs w:val="24"/>
    </w:rPr>
  </w:style>
  <w:style w:type="paragraph" w:styleId="769">
    <w:name w:val="Quote"/>
    <w:basedOn w:val="915"/>
    <w:next w:val="915"/>
    <w:link w:val="770"/>
    <w:uiPriority w:val="29"/>
    <w:qFormat/>
    <w:pPr>
      <w:ind w:left="720" w:right="720"/>
    </w:pPr>
    <w:rPr>
      <w:i/>
    </w:rPr>
  </w:style>
  <w:style w:type="character" w:styleId="770">
    <w:name w:val="Quote Char"/>
    <w:link w:val="769"/>
    <w:uiPriority w:val="29"/>
    <w:rPr>
      <w:i/>
    </w:rPr>
  </w:style>
  <w:style w:type="paragraph" w:styleId="771">
    <w:name w:val="Intense Quote"/>
    <w:basedOn w:val="915"/>
    <w:next w:val="915"/>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1"/>
    <w:link w:val="937"/>
    <w:uiPriority w:val="99"/>
  </w:style>
  <w:style w:type="character" w:styleId="774">
    <w:name w:val="Footer Char"/>
    <w:basedOn w:val="921"/>
    <w:link w:val="935"/>
    <w:uiPriority w:val="99"/>
  </w:style>
  <w:style w:type="paragraph" w:styleId="775">
    <w:name w:val="Caption"/>
    <w:basedOn w:val="915"/>
    <w:next w:val="915"/>
    <w:uiPriority w:val="35"/>
    <w:semiHidden/>
    <w:unhideWhenUsed/>
    <w:qFormat/>
    <w:pPr>
      <w:spacing w:line="276" w:lineRule="auto"/>
    </w:pPr>
    <w:rPr>
      <w:b/>
      <w:bCs/>
      <w:color w:val="4f81bd" w:themeColor="accent1"/>
      <w:sz w:val="18"/>
      <w:szCs w:val="18"/>
    </w:rPr>
  </w:style>
  <w:style w:type="character" w:styleId="776">
    <w:name w:val="Caption Char"/>
    <w:basedOn w:val="775"/>
    <w:link w:val="935"/>
    <w:uiPriority w:val="99"/>
  </w:style>
  <w:style w:type="table" w:styleId="777">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1"/>
    <w:uiPriority w:val="99"/>
    <w:rPr>
      <w:sz w:val="18"/>
    </w:rPr>
  </w:style>
  <w:style w:type="character" w:styleId="903">
    <w:name w:val="footnote reference"/>
    <w:basedOn w:val="921"/>
    <w:uiPriority w:val="99"/>
    <w:unhideWhenUsed/>
    <w:rPr>
      <w:vertAlign w:val="superscript"/>
    </w:rPr>
  </w:style>
  <w:style w:type="paragraph" w:styleId="904">
    <w:name w:val="endnote text"/>
    <w:basedOn w:val="915"/>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1"/>
    <w:uiPriority w:val="99"/>
    <w:semiHidden/>
    <w:unhideWhenUsed/>
    <w:rPr>
      <w:vertAlign w:val="superscript"/>
    </w:rPr>
  </w:style>
  <w:style w:type="paragraph" w:styleId="907">
    <w:name w:val="toc 3"/>
    <w:basedOn w:val="915"/>
    <w:next w:val="915"/>
    <w:uiPriority w:val="39"/>
    <w:unhideWhenUsed/>
    <w:pPr>
      <w:ind w:left="567"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qFormat/>
    <w:pPr>
      <w:jc w:val="both"/>
      <w:widowControl w:val="off"/>
    </w:pPr>
    <w:rPr>
      <w:sz w:val="21"/>
      <w:szCs w:val="24"/>
    </w:rPr>
  </w:style>
  <w:style w:type="paragraph" w:styleId="916">
    <w:name w:val="Heading 1"/>
    <w:basedOn w:val="915"/>
    <w:next w:val="915"/>
    <w:link w:val="961"/>
    <w:qFormat/>
    <w:pPr>
      <w:keepLines/>
      <w:keepNext/>
      <w:spacing w:before="340" w:after="330" w:line="578" w:lineRule="auto"/>
      <w:outlineLvl w:val="0"/>
    </w:pPr>
    <w:rPr>
      <w:b/>
      <w:bCs/>
      <w:sz w:val="44"/>
      <w:szCs w:val="44"/>
    </w:rPr>
  </w:style>
  <w:style w:type="paragraph" w:styleId="917">
    <w:name w:val="Heading 2"/>
    <w:basedOn w:val="915"/>
    <w:next w:val="915"/>
    <w:link w:val="962"/>
    <w:qFormat/>
    <w:pPr>
      <w:numPr>
        <w:ilvl w:val="1"/>
        <w:numId w:val="1"/>
      </w:numPr>
      <w:spacing w:before="156" w:after="156" w:line="360" w:lineRule="auto"/>
      <w:outlineLvl w:val="1"/>
    </w:pPr>
    <w:rPr>
      <w:rFonts w:ascii="Cambria" w:hAnsi="Cambria"/>
      <w:b/>
      <w:bCs/>
      <w:sz w:val="32"/>
      <w:szCs w:val="32"/>
    </w:rPr>
  </w:style>
  <w:style w:type="paragraph" w:styleId="918">
    <w:name w:val="Heading 3"/>
    <w:basedOn w:val="915"/>
    <w:next w:val="924"/>
    <w:link w:val="964"/>
    <w:qFormat/>
    <w:pPr>
      <w:keepLines/>
      <w:keepNext/>
      <w:spacing w:before="260" w:after="260" w:line="416" w:lineRule="auto"/>
      <w:outlineLvl w:val="2"/>
    </w:pPr>
    <w:rPr>
      <w:b/>
      <w:sz w:val="32"/>
      <w:szCs w:val="20"/>
    </w:rPr>
  </w:style>
  <w:style w:type="paragraph" w:styleId="919">
    <w:name w:val="Heading 5"/>
    <w:basedOn w:val="915"/>
    <w:next w:val="915"/>
    <w:link w:val="965"/>
    <w:qFormat/>
    <w:pPr>
      <w:jc w:val="left"/>
      <w:keepLines/>
      <w:keepNext/>
      <w:spacing w:before="280" w:after="290" w:line="376" w:lineRule="auto"/>
      <w:widowControl/>
      <w:outlineLvl w:val="4"/>
    </w:pPr>
    <w:rPr>
      <w:b/>
      <w:bCs/>
      <w:sz w:val="28"/>
      <w:szCs w:val="28"/>
    </w:rPr>
  </w:style>
  <w:style w:type="paragraph" w:styleId="920">
    <w:name w:val="Heading 6"/>
    <w:basedOn w:val="915"/>
    <w:next w:val="915"/>
    <w:link w:val="966"/>
    <w:uiPriority w:val="9"/>
    <w:qFormat/>
    <w:pPr>
      <w:numPr>
        <w:ilvl w:val="5"/>
        <w:numId w:val="1"/>
      </w:numPr>
      <w:keepLines/>
      <w:keepNext/>
      <w:spacing w:before="120" w:after="64" w:line="300" w:lineRule="auto"/>
      <w:outlineLvl w:val="5"/>
    </w:pPr>
    <w:rPr>
      <w:rFonts w:ascii="Arial" w:hAnsi="Arial"/>
      <w:bCs/>
      <w:sz w:val="24"/>
    </w:rPr>
  </w:style>
  <w:style w:type="character" w:styleId="921" w:default="1">
    <w:name w:val="Default Paragraph Font"/>
    <w:uiPriority w:val="1"/>
    <w:semiHidden/>
    <w:unhideWhenUsed/>
  </w:style>
  <w:style w:type="table" w:styleId="922" w:default="1">
    <w:name w:val="Normal Table"/>
    <w:uiPriority w:val="99"/>
    <w:semiHidden/>
    <w:unhideWhenUsed/>
    <w:qFormat/>
    <w:tblPr>
      <w:tblInd w:w="0" w:type="dxa"/>
      <w:tblCellMar>
        <w:left w:w="108" w:type="dxa"/>
        <w:top w:w="0" w:type="dxa"/>
        <w:right w:w="108" w:type="dxa"/>
        <w:bottom w:w="0" w:type="dxa"/>
      </w:tblCellMar>
    </w:tblPr>
  </w:style>
  <w:style w:type="numbering" w:styleId="923" w:default="1">
    <w:name w:val="No List"/>
    <w:uiPriority w:val="99"/>
    <w:semiHidden/>
    <w:unhideWhenUsed/>
  </w:style>
  <w:style w:type="paragraph" w:styleId="924">
    <w:name w:val="Normal Indent"/>
    <w:basedOn w:val="915"/>
    <w:link w:val="963"/>
    <w:qFormat/>
    <w:pPr>
      <w:ind w:firstLine="420"/>
    </w:pPr>
    <w:rPr>
      <w:rFonts w:eastAsia="楷体_GB2312"/>
      <w:sz w:val="24"/>
      <w:szCs w:val="20"/>
    </w:rPr>
  </w:style>
  <w:style w:type="paragraph" w:styleId="925">
    <w:name w:val="table of authorities"/>
    <w:basedOn w:val="915"/>
    <w:next w:val="915"/>
    <w:uiPriority w:val="99"/>
    <w:unhideWhenUsed/>
    <w:qFormat/>
    <w:pPr>
      <w:ind w:left="420"/>
    </w:pPr>
  </w:style>
  <w:style w:type="paragraph" w:styleId="926">
    <w:name w:val="Document Map"/>
    <w:basedOn w:val="915"/>
    <w:qFormat/>
    <w:rPr>
      <w:rFonts w:ascii="宋体"/>
      <w:sz w:val="18"/>
      <w:szCs w:val="18"/>
    </w:rPr>
  </w:style>
  <w:style w:type="paragraph" w:styleId="927">
    <w:name w:val="annotation text"/>
    <w:basedOn w:val="915"/>
    <w:link w:val="967"/>
    <w:qFormat/>
    <w:pPr>
      <w:jc w:val="left"/>
    </w:pPr>
  </w:style>
  <w:style w:type="paragraph" w:styleId="928">
    <w:name w:val="Body Text"/>
    <w:basedOn w:val="915"/>
    <w:next w:val="915"/>
    <w:link w:val="968"/>
    <w:uiPriority w:val="99"/>
    <w:unhideWhenUsed/>
    <w:qFormat/>
    <w:pPr>
      <w:spacing w:after="120"/>
    </w:pPr>
    <w:rPr>
      <w:sz w:val="20"/>
    </w:rPr>
  </w:style>
  <w:style w:type="paragraph" w:styleId="929">
    <w:name w:val="Body Text Indent"/>
    <w:basedOn w:val="915"/>
    <w:next w:val="915"/>
    <w:link w:val="960"/>
    <w:qFormat/>
    <w:pPr>
      <w:ind w:firstLine="425"/>
      <w:spacing w:line="360" w:lineRule="auto"/>
    </w:pPr>
    <w:rPr>
      <w:sz w:val="24"/>
    </w:rPr>
  </w:style>
  <w:style w:type="paragraph" w:styleId="930">
    <w:name w:val="Block Text"/>
    <w:basedOn w:val="916"/>
    <w:next w:val="915"/>
    <w:qFormat/>
    <w:pPr>
      <w:ind w:left="630" w:right="-609" w:firstLine="420"/>
      <w:spacing w:line="360" w:lineRule="auto"/>
    </w:pPr>
    <w:rPr>
      <w:rFonts w:hint="eastAsia" w:ascii="仿宋_GB2312" w:eastAsia="仿宋_GB2312"/>
      <w:szCs w:val="20"/>
    </w:rPr>
  </w:style>
  <w:style w:type="paragraph" w:styleId="931">
    <w:name w:val="Plain Text"/>
    <w:basedOn w:val="915"/>
    <w:link w:val="969"/>
    <w:qFormat/>
    <w:rPr>
      <w:rFonts w:ascii="宋体" w:hAnsi="Courier New" w:eastAsia="楷体_GB2312"/>
      <w:sz w:val="26"/>
    </w:rPr>
  </w:style>
  <w:style w:type="paragraph" w:styleId="932">
    <w:name w:val="Date"/>
    <w:basedOn w:val="915"/>
    <w:next w:val="915"/>
    <w:link w:val="970"/>
    <w:qFormat/>
    <w:rPr>
      <w:b/>
      <w:bCs/>
      <w:spacing w:val="20"/>
      <w:sz w:val="20"/>
    </w:rPr>
  </w:style>
  <w:style w:type="paragraph" w:styleId="933">
    <w:name w:val="Body Text Indent 2"/>
    <w:basedOn w:val="915"/>
    <w:qFormat/>
    <w:pPr>
      <w:ind w:firstLine="540"/>
      <w:spacing w:line="360" w:lineRule="auto"/>
    </w:pPr>
    <w:rPr>
      <w:rFonts w:ascii="宋体" w:hAnsi="宋体"/>
      <w:sz w:val="24"/>
    </w:rPr>
  </w:style>
  <w:style w:type="paragraph" w:styleId="934">
    <w:name w:val="Balloon Text"/>
    <w:basedOn w:val="915"/>
    <w:link w:val="971"/>
    <w:qFormat/>
    <w:rPr>
      <w:sz w:val="18"/>
      <w:szCs w:val="18"/>
    </w:rPr>
  </w:style>
  <w:style w:type="paragraph" w:styleId="935">
    <w:name w:val="Footer"/>
    <w:basedOn w:val="915"/>
    <w:link w:val="972"/>
    <w:uiPriority w:val="99"/>
    <w:qFormat/>
    <w:pPr>
      <w:jc w:val="left"/>
      <w:tabs>
        <w:tab w:val="center" w:pos="4153" w:leader="none"/>
        <w:tab w:val="right" w:pos="8306" w:leader="none"/>
      </w:tabs>
    </w:pPr>
    <w:rPr>
      <w:sz w:val="18"/>
      <w:szCs w:val="18"/>
    </w:rPr>
  </w:style>
  <w:style w:type="paragraph" w:styleId="936">
    <w:name w:val="envelope return"/>
    <w:basedOn w:val="915"/>
    <w:qFormat/>
    <w:rPr>
      <w:rFonts w:ascii="Arial" w:hAnsi="Arial" w:eastAsia="楷体_GB2312"/>
      <w:sz w:val="26"/>
    </w:rPr>
  </w:style>
  <w:style w:type="paragraph" w:styleId="937">
    <w:name w:val="Header"/>
    <w:basedOn w:val="915"/>
    <w:link w:val="973"/>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15"/>
    <w:next w:val="915"/>
    <w:qFormat/>
    <w:pPr>
      <w:jc w:val="left"/>
    </w:pPr>
    <w:rPr>
      <w:rFonts w:eastAsia="楷体_GB2312"/>
      <w:sz w:val="24"/>
      <w:szCs w:val="20"/>
    </w:rPr>
  </w:style>
  <w:style w:type="paragraph" w:styleId="939">
    <w:name w:val="toc 4"/>
    <w:basedOn w:val="915"/>
    <w:next w:val="915"/>
    <w:qFormat/>
    <w:pPr>
      <w:ind w:left="1260"/>
    </w:pPr>
  </w:style>
  <w:style w:type="paragraph" w:styleId="940">
    <w:name w:val="Subtitle"/>
    <w:basedOn w:val="915"/>
    <w:next w:val="915"/>
    <w:link w:val="974"/>
    <w:qFormat/>
    <w:pPr>
      <w:jc w:val="center"/>
      <w:spacing w:before="240" w:after="60" w:line="312" w:lineRule="auto"/>
      <w:outlineLvl w:val="1"/>
    </w:pPr>
    <w:rPr>
      <w:rFonts w:ascii="宋体" w:hAnsi="Courier New" w:eastAsia="楷体_GB2312"/>
      <w:sz w:val="26"/>
      <w:szCs w:val="20"/>
    </w:rPr>
  </w:style>
  <w:style w:type="paragraph" w:styleId="941">
    <w:name w:val="footnote text"/>
    <w:basedOn w:val="916"/>
    <w:next w:val="930"/>
    <w:qFormat/>
    <w:pPr>
      <w:ind w:firstLine="3584"/>
      <w:spacing w:before="0" w:after="0" w:line="360" w:lineRule="auto"/>
    </w:pPr>
  </w:style>
  <w:style w:type="paragraph" w:styleId="942">
    <w:name w:val="Body Text Indent 3"/>
    <w:basedOn w:val="915"/>
    <w:link w:val="975"/>
    <w:qFormat/>
    <w:pPr>
      <w:ind w:firstLine="480"/>
      <w:jc w:val="left"/>
      <w:spacing w:line="440" w:lineRule="atLeast"/>
    </w:pPr>
    <w:rPr>
      <w:sz w:val="24"/>
    </w:rPr>
  </w:style>
  <w:style w:type="paragraph" w:styleId="943">
    <w:name w:val="toc 2"/>
    <w:basedOn w:val="915"/>
    <w:next w:val="915"/>
    <w:uiPriority w:val="39"/>
    <w:unhideWhenUsed/>
    <w:qFormat/>
    <w:pPr>
      <w:ind w:left="420"/>
    </w:pPr>
    <w:rPr>
      <w:sz w:val="28"/>
    </w:rPr>
  </w:style>
  <w:style w:type="paragraph" w:styleId="944">
    <w:name w:val="Normal (Web)"/>
    <w:basedOn w:val="915"/>
    <w:uiPriority w:val="99"/>
    <w:qFormat/>
    <w:pPr>
      <w:jc w:val="left"/>
      <w:spacing w:beforeAutospacing="1" w:afterAutospacing="1"/>
    </w:pPr>
    <w:rPr>
      <w:sz w:val="24"/>
    </w:rPr>
  </w:style>
  <w:style w:type="paragraph" w:styleId="945">
    <w:name w:val="annotation subject"/>
    <w:basedOn w:val="927"/>
    <w:next w:val="915"/>
    <w:link w:val="976"/>
    <w:qFormat/>
  </w:style>
  <w:style w:type="paragraph" w:styleId="946">
    <w:name w:val="Body Text First Indent"/>
    <w:basedOn w:val="928"/>
    <w:next w:val="915"/>
    <w:qFormat/>
    <w:pPr>
      <w:ind w:firstLine="420"/>
    </w:pPr>
  </w:style>
  <w:style w:type="paragraph" w:styleId="947">
    <w:name w:val="Body Text First Indent 2"/>
    <w:basedOn w:val="929"/>
    <w:qFormat/>
    <w:pPr>
      <w:ind w:left="420" w:firstLine="210"/>
      <w:spacing w:after="120" w:line="240" w:lineRule="auto"/>
    </w:pPr>
    <w:rPr>
      <w:rFonts w:eastAsia="仿宋_GB2312"/>
      <w:sz w:val="30"/>
    </w:rPr>
  </w:style>
  <w:style w:type="table" w:styleId="948">
    <w:name w:val="Table Grid"/>
    <w:basedOn w:val="9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qFormat/>
    <w:rPr>
      <w:rFonts w:ascii="Calibri" w:hAnsi="Calibri" w:eastAsia="宋体" w:cs="Times New Roman"/>
      <w:b/>
    </w:rPr>
  </w:style>
  <w:style w:type="character" w:styleId="950">
    <w:name w:val="FollowedHyperlink"/>
    <w:qFormat/>
    <w:rPr>
      <w:color w:val="337ab7"/>
      <w:u w:val="none"/>
    </w:rPr>
  </w:style>
  <w:style w:type="character" w:styleId="951">
    <w:name w:val="Emphasis"/>
    <w:qFormat/>
    <w:rPr>
      <w:i/>
    </w:rPr>
  </w:style>
  <w:style w:type="character" w:styleId="952">
    <w:name w:val="HTML Definition"/>
    <w:qFormat/>
    <w:rPr>
      <w:i/>
    </w:rPr>
  </w:style>
  <w:style w:type="character" w:styleId="953">
    <w:name w:val="Hyperlink"/>
    <w:qFormat/>
    <w:rPr>
      <w:color w:val="337ab7"/>
      <w:u w:val="none"/>
    </w:rPr>
  </w:style>
  <w:style w:type="character" w:styleId="954">
    <w:name w:val="HTML Code"/>
    <w:qFormat/>
    <w:rPr>
      <w:rFonts w:hint="default" w:ascii="Consolas" w:hAnsi="Consolas" w:eastAsia="Consolas" w:cs="Consolas"/>
      <w:color w:val="c7254e"/>
      <w:sz w:val="21"/>
      <w:szCs w:val="21"/>
      <w:shd w:val="clear" w:color="auto" w:fill="f9f2f4"/>
    </w:rPr>
  </w:style>
  <w:style w:type="character" w:styleId="955">
    <w:name w:val="annotation reference"/>
    <w:qFormat/>
    <w:rPr>
      <w:rFonts w:ascii="Calibri" w:hAnsi="Calibri" w:eastAsia="宋体" w:cs="Times New Roman"/>
      <w:sz w:val="21"/>
      <w:szCs w:val="21"/>
    </w:rPr>
  </w:style>
  <w:style w:type="character" w:styleId="956">
    <w:name w:val="HTML Keyboard"/>
    <w:qFormat/>
    <w:rPr>
      <w:rFonts w:ascii="Consolas" w:hAnsi="Consolas" w:eastAsia="Consolas" w:cs="Consolas"/>
      <w:color w:val="ffffff"/>
      <w:sz w:val="21"/>
      <w:szCs w:val="21"/>
      <w:shd w:val="clear" w:color="auto" w:fill="333333"/>
    </w:rPr>
  </w:style>
  <w:style w:type="character" w:styleId="957">
    <w:name w:val="HTML Sample"/>
    <w:qFormat/>
    <w:rPr>
      <w:rFonts w:hint="default" w:ascii="Consolas" w:hAnsi="Consolas" w:eastAsia="Consolas" w:cs="Consolas"/>
      <w:sz w:val="21"/>
      <w:szCs w:val="21"/>
    </w:rPr>
  </w:style>
  <w:style w:type="paragraph" w:styleId="958" w:customStyle="1">
    <w:name w:val="段"/>
    <w:next w:val="915"/>
    <w:qFormat/>
    <w:pPr>
      <w:ind w:firstLine="420"/>
      <w:jc w:val="both"/>
      <w:tabs>
        <w:tab w:val="center" w:pos="4201" w:leader="none"/>
        <w:tab w:val="right" w:pos="9298" w:leader="dot"/>
      </w:tabs>
    </w:pPr>
    <w:rPr>
      <w:rFonts w:ascii="宋体" w:eastAsia="Times New Roman"/>
    </w:rPr>
  </w:style>
  <w:style w:type="paragraph" w:styleId="959" w:customStyle="1">
    <w:name w:val="首行缩进"/>
    <w:basedOn w:val="915"/>
    <w:uiPriority w:val="99"/>
    <w:qFormat/>
    <w:pPr>
      <w:ind w:firstLine="480"/>
    </w:pPr>
    <w:rPr>
      <w:szCs w:val="20"/>
      <w:lang w:val="zh-CN"/>
    </w:rPr>
  </w:style>
  <w:style w:type="character" w:styleId="960" w:customStyle="1">
    <w:name w:val="正文文本缩进 Char"/>
    <w:basedOn w:val="921"/>
    <w:link w:val="929"/>
    <w:qFormat/>
    <w:rPr>
      <w:rFonts w:ascii="Times New Roman" w:hAnsi="Times New Roman" w:eastAsia="宋体" w:cs="Times New Roman"/>
      <w:sz w:val="24"/>
      <w:szCs w:val="24"/>
    </w:rPr>
  </w:style>
  <w:style w:type="character" w:styleId="961" w:customStyle="1">
    <w:name w:val="标题 1 Char"/>
    <w:basedOn w:val="921"/>
    <w:link w:val="916"/>
    <w:qFormat/>
    <w:rPr>
      <w:rFonts w:ascii="Times New Roman" w:hAnsi="Times New Roman" w:eastAsia="宋体" w:cs="Times New Roman"/>
      <w:b/>
      <w:bCs/>
      <w:sz w:val="44"/>
      <w:szCs w:val="44"/>
    </w:rPr>
  </w:style>
  <w:style w:type="character" w:styleId="962" w:customStyle="1">
    <w:name w:val="标题 2 Char"/>
    <w:basedOn w:val="921"/>
    <w:link w:val="917"/>
    <w:qFormat/>
    <w:rPr>
      <w:rFonts w:ascii="Cambria" w:hAnsi="Cambria" w:eastAsia="宋体" w:cs="Times New Roman"/>
      <w:b/>
      <w:bCs/>
      <w:sz w:val="32"/>
      <w:szCs w:val="32"/>
    </w:rPr>
  </w:style>
  <w:style w:type="character" w:styleId="963" w:customStyle="1">
    <w:name w:val="正文缩进 Char"/>
    <w:link w:val="924"/>
    <w:qFormat/>
    <w:rPr>
      <w:rFonts w:ascii="Times New Roman" w:hAnsi="Times New Roman" w:eastAsia="楷体_GB2312" w:cs="Times New Roman"/>
      <w:sz w:val="24"/>
      <w:szCs w:val="20"/>
    </w:rPr>
  </w:style>
  <w:style w:type="character" w:styleId="964" w:customStyle="1">
    <w:name w:val="标题 3 Char"/>
    <w:basedOn w:val="921"/>
    <w:link w:val="918"/>
    <w:qFormat/>
    <w:rPr>
      <w:rFonts w:ascii="Times New Roman" w:hAnsi="Times New Roman" w:eastAsia="宋体" w:cs="Times New Roman"/>
      <w:b/>
      <w:sz w:val="32"/>
      <w:szCs w:val="20"/>
    </w:rPr>
  </w:style>
  <w:style w:type="character" w:styleId="965" w:customStyle="1">
    <w:name w:val="标题 5 Char"/>
    <w:basedOn w:val="921"/>
    <w:link w:val="919"/>
    <w:qFormat/>
    <w:rPr>
      <w:rFonts w:ascii="Times New Roman" w:hAnsi="Times New Roman" w:eastAsia="宋体" w:cs="Times New Roman"/>
      <w:b/>
      <w:bCs/>
      <w:sz w:val="28"/>
      <w:szCs w:val="28"/>
    </w:rPr>
  </w:style>
  <w:style w:type="character" w:styleId="966" w:customStyle="1">
    <w:name w:val="标题 6 Char"/>
    <w:basedOn w:val="921"/>
    <w:link w:val="920"/>
    <w:uiPriority w:val="9"/>
    <w:qFormat/>
    <w:rPr>
      <w:rFonts w:ascii="Arial" w:hAnsi="Arial" w:eastAsia="宋体" w:cs="Times New Roman"/>
      <w:bCs/>
      <w:sz w:val="24"/>
      <w:szCs w:val="24"/>
    </w:rPr>
  </w:style>
  <w:style w:type="character" w:styleId="967" w:customStyle="1">
    <w:name w:val="批注文字 Char"/>
    <w:basedOn w:val="921"/>
    <w:link w:val="927"/>
    <w:qFormat/>
    <w:rPr>
      <w:rFonts w:ascii="Times New Roman" w:hAnsi="Times New Roman" w:eastAsia="宋体" w:cs="Times New Roman"/>
      <w:szCs w:val="24"/>
    </w:rPr>
  </w:style>
  <w:style w:type="character" w:styleId="968" w:customStyle="1">
    <w:name w:val="正文文本 Char1"/>
    <w:basedOn w:val="921"/>
    <w:link w:val="928"/>
    <w:uiPriority w:val="99"/>
    <w:qFormat/>
    <w:rPr>
      <w:rFonts w:ascii="Times New Roman" w:hAnsi="Times New Roman" w:eastAsia="宋体" w:cs="Times New Roman"/>
      <w:sz w:val="20"/>
      <w:szCs w:val="24"/>
    </w:rPr>
  </w:style>
  <w:style w:type="character" w:styleId="969" w:customStyle="1">
    <w:name w:val="纯文本 Char1"/>
    <w:basedOn w:val="921"/>
    <w:link w:val="931"/>
    <w:qFormat/>
    <w:rPr>
      <w:rFonts w:ascii="宋体" w:hAnsi="Courier New" w:eastAsia="楷体_GB2312" w:cs="Times New Roman"/>
      <w:sz w:val="26"/>
      <w:szCs w:val="24"/>
    </w:rPr>
  </w:style>
  <w:style w:type="character" w:styleId="970" w:customStyle="1">
    <w:name w:val="日期 Char"/>
    <w:basedOn w:val="921"/>
    <w:link w:val="932"/>
    <w:qFormat/>
    <w:rPr>
      <w:rFonts w:ascii="Times New Roman" w:hAnsi="Times New Roman" w:eastAsia="宋体" w:cs="Times New Roman"/>
      <w:b/>
      <w:bCs/>
      <w:spacing w:val="20"/>
      <w:sz w:val="20"/>
      <w:szCs w:val="24"/>
    </w:rPr>
  </w:style>
  <w:style w:type="character" w:styleId="971" w:customStyle="1">
    <w:name w:val="批注框文本 Char"/>
    <w:basedOn w:val="921"/>
    <w:link w:val="934"/>
    <w:qFormat/>
    <w:rPr>
      <w:rFonts w:ascii="Times New Roman" w:hAnsi="Times New Roman" w:eastAsia="宋体" w:cs="Times New Roman"/>
      <w:sz w:val="18"/>
      <w:szCs w:val="18"/>
    </w:rPr>
  </w:style>
  <w:style w:type="character" w:styleId="972" w:customStyle="1">
    <w:name w:val="页脚 Char"/>
    <w:basedOn w:val="921"/>
    <w:link w:val="935"/>
    <w:uiPriority w:val="99"/>
    <w:qFormat/>
    <w:rPr>
      <w:rFonts w:ascii="Times New Roman" w:hAnsi="Times New Roman" w:eastAsia="宋体" w:cs="Times New Roman"/>
      <w:sz w:val="18"/>
      <w:szCs w:val="18"/>
    </w:rPr>
  </w:style>
  <w:style w:type="character" w:styleId="973" w:customStyle="1">
    <w:name w:val="页眉 Char"/>
    <w:basedOn w:val="921"/>
    <w:link w:val="937"/>
    <w:qFormat/>
    <w:rPr>
      <w:rFonts w:ascii="Times New Roman" w:hAnsi="Times New Roman" w:eastAsia="宋体" w:cs="Times New Roman"/>
      <w:sz w:val="18"/>
      <w:szCs w:val="18"/>
    </w:rPr>
  </w:style>
  <w:style w:type="character" w:styleId="974" w:customStyle="1">
    <w:name w:val="副标题 Char"/>
    <w:basedOn w:val="921"/>
    <w:link w:val="940"/>
    <w:qFormat/>
    <w:rPr>
      <w:rFonts w:ascii="宋体" w:hAnsi="Courier New" w:eastAsia="楷体_GB2312" w:cs="Times New Roman"/>
      <w:sz w:val="26"/>
      <w:szCs w:val="20"/>
    </w:rPr>
  </w:style>
  <w:style w:type="character" w:styleId="975" w:customStyle="1">
    <w:name w:val="正文文本缩进 3 Char"/>
    <w:basedOn w:val="921"/>
    <w:link w:val="942"/>
    <w:qFormat/>
    <w:rPr>
      <w:rFonts w:ascii="Times New Roman" w:hAnsi="Times New Roman" w:eastAsia="宋体" w:cs="Times New Roman"/>
      <w:sz w:val="24"/>
      <w:szCs w:val="24"/>
    </w:rPr>
  </w:style>
  <w:style w:type="character" w:styleId="976" w:customStyle="1">
    <w:name w:val="批注主题 Char"/>
    <w:basedOn w:val="967"/>
    <w:link w:val="945"/>
    <w:qFormat/>
    <w:rPr>
      <w:rFonts w:ascii="Times New Roman" w:hAnsi="Times New Roman" w:eastAsia="宋体" w:cs="Times New Roman"/>
      <w:b/>
      <w:bCs/>
      <w:szCs w:val="24"/>
    </w:rPr>
  </w:style>
  <w:style w:type="character" w:styleId="977" w:customStyle="1">
    <w:name w:val="hover14"/>
    <w:qFormat/>
    <w:rPr>
      <w:shd w:val="clear" w:color="auto" w:fill="eeeeee"/>
    </w:rPr>
  </w:style>
  <w:style w:type="character" w:styleId="978" w:customStyle="1">
    <w:name w:val="hour_pm"/>
    <w:qFormat/>
  </w:style>
  <w:style w:type="character" w:styleId="979" w:customStyle="1">
    <w:name w:val="first-child"/>
    <w:qFormat/>
  </w:style>
  <w:style w:type="character" w:styleId="980" w:customStyle="1">
    <w:name w:val="正文文本 Char"/>
    <w:uiPriority w:val="99"/>
    <w:qFormat/>
    <w:rPr>
      <w:rFonts w:ascii="Calibri" w:hAnsi="Calibri" w:eastAsia="宋体" w:cs="Times New Roman"/>
      <w:szCs w:val="24"/>
    </w:rPr>
  </w:style>
  <w:style w:type="character" w:styleId="981" w:customStyle="1">
    <w:name w:val="font81"/>
    <w:qFormat/>
    <w:rPr>
      <w:rFonts w:hint="eastAsia" w:ascii="宋体" w:hAnsi="宋体" w:eastAsia="宋体" w:cs="宋体"/>
      <w:b/>
      <w:color w:val="000000"/>
      <w:sz w:val="22"/>
      <w:szCs w:val="22"/>
      <w:u w:val="none"/>
    </w:rPr>
  </w:style>
  <w:style w:type="character" w:styleId="982" w:customStyle="1">
    <w:name w:val="日期 Char1"/>
    <w:qFormat/>
    <w:rPr>
      <w:rFonts w:ascii="Calibri" w:hAnsi="Calibri" w:eastAsia="宋体" w:cs="Times New Roman"/>
      <w:szCs w:val="24"/>
    </w:rPr>
  </w:style>
  <w:style w:type="character" w:styleId="983" w:customStyle="1">
    <w:name w:val="hover13"/>
    <w:qFormat/>
    <w:rPr>
      <w:shd w:val="clear" w:color="auto" w:fill="eeeeee"/>
    </w:rPr>
  </w:style>
  <w:style w:type="character" w:styleId="984" w:customStyle="1">
    <w:name w:val="font71"/>
    <w:qFormat/>
    <w:rPr>
      <w:rFonts w:hint="eastAsia" w:ascii="宋体" w:hAnsi="宋体" w:eastAsia="宋体" w:cs="宋体"/>
      <w:b/>
      <w:color w:val="000000"/>
      <w:sz w:val="22"/>
      <w:szCs w:val="22"/>
      <w:u w:val="none"/>
      <w:vertAlign w:val="superscript"/>
    </w:rPr>
  </w:style>
  <w:style w:type="character" w:styleId="985" w:customStyle="1">
    <w:name w:val="纯文本 Char"/>
    <w:qFormat/>
    <w:rPr>
      <w:rFonts w:ascii="宋体" w:hAnsi="Courier New" w:eastAsia="宋体" w:cs="Courier New"/>
      <w:szCs w:val="21"/>
    </w:rPr>
  </w:style>
  <w:style w:type="character" w:styleId="986" w:customStyle="1">
    <w:name w:val="select2-selection__rendered"/>
    <w:qFormat/>
    <w:rPr>
      <w:sz w:val="18"/>
      <w:szCs w:val="18"/>
    </w:rPr>
  </w:style>
  <w:style w:type="character" w:styleId="987" w:customStyle="1">
    <w:name w:val="first-child1"/>
    <w:qFormat/>
  </w:style>
  <w:style w:type="character" w:styleId="988" w:customStyle="1">
    <w:name w:val="old"/>
    <w:qFormat/>
    <w:rPr>
      <w:color w:val="999999"/>
    </w:rPr>
  </w:style>
  <w:style w:type="character" w:styleId="989" w:customStyle="1">
    <w:name w:val="time"/>
    <w:qFormat/>
    <w:rPr>
      <w:rFonts w:ascii="Arial" w:hAnsi="Arial" w:cs="Arial"/>
    </w:rPr>
  </w:style>
  <w:style w:type="character" w:styleId="990" w:customStyle="1">
    <w:name w:val="Plain Text Char"/>
    <w:link w:val="991"/>
    <w:qFormat/>
    <w:rPr>
      <w:rFonts w:ascii="宋体" w:hAnsi="Courier New" w:eastAsia="楷体_GB2312" w:cs="Times New Roman"/>
      <w:sz w:val="26"/>
    </w:rPr>
  </w:style>
  <w:style w:type="paragraph" w:styleId="991" w:customStyle="1">
    <w:name w:val="纯文本3"/>
    <w:basedOn w:val="915"/>
    <w:link w:val="990"/>
    <w:qFormat/>
    <w:rPr>
      <w:rFonts w:ascii="宋体" w:hAnsi="Courier New" w:eastAsia="楷体_GB2312"/>
      <w:sz w:val="26"/>
      <w:szCs w:val="22"/>
    </w:rPr>
  </w:style>
  <w:style w:type="character" w:styleId="992" w:customStyle="1">
    <w:name w:val="hour_am"/>
    <w:qFormat/>
  </w:style>
  <w:style w:type="character" w:styleId="993" w:customStyle="1">
    <w:name w:val="NormalCharacter"/>
    <w:semiHidden/>
    <w:qFormat/>
    <w:rPr>
      <w:rFonts w:ascii="Times New Roman" w:hAnsi="Times New Roman" w:eastAsia="宋体" w:cs="Times New Roman"/>
    </w:rPr>
  </w:style>
  <w:style w:type="paragraph" w:styleId="994" w:customStyle="1">
    <w:name w:val="纯文本2"/>
    <w:basedOn w:val="915"/>
    <w:qFormat/>
    <w:rPr>
      <w:rFonts w:ascii="宋体" w:hAnsi="Courier New"/>
    </w:rPr>
  </w:style>
  <w:style w:type="paragraph" w:styleId="995" w:customStyle="1">
    <w:name w:val="文本正文"/>
    <w:basedOn w:val="915"/>
    <w:qFormat/>
    <w:pPr>
      <w:ind w:firstLine="560"/>
      <w:jc w:val="left"/>
      <w:spacing w:line="360" w:lineRule="auto"/>
    </w:pPr>
    <w:rPr>
      <w:sz w:val="28"/>
      <w:szCs w:val="28"/>
    </w:rPr>
  </w:style>
  <w:style w:type="paragraph" w:styleId="996" w:customStyle="1">
    <w:name w:val="Plain Text1"/>
    <w:basedOn w:val="915"/>
    <w:qFormat/>
    <w:pPr>
      <w:jc w:val="left"/>
      <w:widowControl/>
    </w:pPr>
    <w:rPr>
      <w:rFonts w:ascii="宋体" w:hAnsi="Courier New" w:eastAsia="楷体_GB2312"/>
      <w:sz w:val="26"/>
      <w:szCs w:val="20"/>
    </w:rPr>
  </w:style>
  <w:style w:type="paragraph" w:styleId="997" w:customStyle="1">
    <w:name w:val="纯文本4"/>
    <w:basedOn w:val="915"/>
    <w:qFormat/>
    <w:rPr>
      <w:rFonts w:ascii="宋体" w:hAnsi="Courier New" w:eastAsia="楷体_GB2312"/>
      <w:sz w:val="26"/>
      <w:szCs w:val="20"/>
    </w:rPr>
  </w:style>
  <w:style w:type="paragraph" w:styleId="998" w:customStyle="1">
    <w:name w:val="Default"/>
    <w:qFormat/>
    <w:pPr>
      <w:widowControl w:val="off"/>
    </w:pPr>
    <w:rPr>
      <w:rFonts w:ascii="宋体"/>
      <w:color w:val="000000"/>
      <w:sz w:val="24"/>
      <w:szCs w:val="24"/>
    </w:rPr>
  </w:style>
  <w:style w:type="paragraph" w:styleId="999">
    <w:name w:val="List Paragraph"/>
    <w:basedOn w:val="915"/>
    <w:uiPriority w:val="99"/>
    <w:qFormat/>
    <w:pPr>
      <w:ind w:firstLine="420"/>
    </w:pPr>
  </w:style>
  <w:style w:type="paragraph" w:styleId="1000" w:customStyle="1">
    <w:name w:val="纯文本1"/>
    <w:basedOn w:val="915"/>
    <w:qFormat/>
    <w:rPr>
      <w:rFonts w:ascii="宋体" w:hAnsi="Courier New" w:eastAsia="楷体_GB2312"/>
      <w:sz w:val="28"/>
      <w:szCs w:val="20"/>
    </w:rPr>
  </w:style>
  <w:style w:type="paragraph" w:styleId="1001" w:customStyle="1">
    <w:name w:val="修订1"/>
    <w:uiPriority w:val="99"/>
    <w:unhideWhenUsed/>
    <w:qFormat/>
    <w:rPr>
      <w:sz w:val="21"/>
      <w:szCs w:val="24"/>
    </w:rPr>
  </w:style>
  <w:style w:type="paragraph" w:styleId="1002" w:customStyle="1">
    <w:name w:val="纯文本5"/>
    <w:basedOn w:val="915"/>
    <w:qFormat/>
    <w:rPr>
      <w:rFonts w:ascii="宋体" w:hAnsi="Courier New" w:eastAsia="楷体_GB2312"/>
      <w:sz w:val="26"/>
      <w:szCs w:val="20"/>
    </w:rPr>
  </w:style>
  <w:style w:type="paragraph" w:styleId="1003" w:customStyle="1">
    <w:name w:val="纯文本6"/>
    <w:basedOn w:val="915"/>
    <w:qFormat/>
    <w:rPr>
      <w:rFonts w:ascii="宋体" w:hAnsi="Courier New" w:eastAsia="楷体_GB2312"/>
      <w:sz w:val="26"/>
      <w:szCs w:val="20"/>
    </w:rPr>
  </w:style>
  <w:style w:type="character" w:styleId="1004" w:customStyle="1">
    <w:name w:val="font21"/>
    <w:basedOn w:val="921"/>
    <w:qFormat/>
    <w:rPr>
      <w:rFonts w:hint="eastAsia" w:ascii="宋体" w:hAnsi="宋体" w:eastAsia="宋体" w:cs="宋体"/>
      <w:color w:val="000000"/>
      <w:sz w:val="22"/>
      <w:szCs w:val="22"/>
      <w:u w:val="none"/>
    </w:rPr>
  </w:style>
  <w:style w:type="paragraph" w:styleId="1005" w:customStyle="1">
    <w:name w:val="正文1"/>
    <w:basedOn w:val="915"/>
    <w:qFormat/>
    <w:rPr>
      <w:rFonts w:ascii="宋体" w:hAnsi="宋体" w:cs="宋体"/>
      <w:sz w:val="24"/>
      <w:szCs w:val="20"/>
      <w:lang w:eastAsia="en-US"/>
    </w:rPr>
  </w:style>
  <w:style w:type="paragraph" w:styleId="1006" w:customStyle="1">
    <w:name w:val="Table Paragraph"/>
    <w:basedOn w:val="915"/>
    <w:uiPriority w:val="1"/>
    <w:qFormat/>
    <w:rPr>
      <w:rFonts w:ascii="宋体" w:hAnsi="宋体" w:cs="宋体"/>
      <w:lang w:val="zh-CN" w:bidi="zh-CN"/>
    </w:rPr>
  </w:style>
  <w:style w:type="paragraph" w:styleId="1007" w:customStyle="1">
    <w:name w:val="Andy_3级"/>
    <w:basedOn w:val="915"/>
    <w:qFormat/>
    <w:pPr>
      <w:ind w:firstLine="510"/>
      <w:spacing w:line="360" w:lineRule="auto"/>
    </w:pPr>
    <w:rPr>
      <w:rFonts w:ascii="Calibri" w:hAnsi="Calibri"/>
      <w:sz w:val="24"/>
    </w:rPr>
  </w:style>
  <w:style w:type="character" w:styleId="1008" w:customStyle="1">
    <w:name w:val="font51"/>
    <w:basedOn w:val="921"/>
    <w:qFormat/>
    <w:rPr>
      <w:rFonts w:hint="eastAsia" w:ascii="宋体" w:hAnsi="宋体" w:eastAsia="宋体" w:cs="宋体"/>
      <w:color w:val="000000"/>
      <w:sz w:val="22"/>
      <w:szCs w:val="22"/>
      <w:u w:val="none"/>
    </w:rPr>
  </w:style>
  <w:style w:type="character" w:styleId="1009" w:customStyle="1">
    <w:name w:val="font31"/>
    <w:basedOn w:val="921"/>
    <w:qFormat/>
    <w:rPr>
      <w:rFonts w:hint="default" w:ascii="Times New Roman" w:hAnsi="Times New Roman" w:cs="Times New Roman"/>
      <w:color w:val="000000"/>
      <w:sz w:val="22"/>
      <w:szCs w:val="22"/>
      <w:u w:val="none"/>
    </w:rPr>
  </w:style>
  <w:style w:type="character" w:styleId="1010" w:customStyle="1">
    <w:name w:val="font11"/>
    <w:basedOn w:val="921"/>
    <w:qFormat/>
    <w:rPr>
      <w:rFonts w:hint="eastAsia" w:ascii="宋体" w:hAnsi="宋体" w:eastAsia="宋体" w:cs="宋体"/>
      <w:color w:val="000000"/>
      <w:sz w:val="22"/>
      <w:szCs w:val="22"/>
      <w:u w:val="none"/>
    </w:rPr>
  </w:style>
  <w:style w:type="paragraph" w:styleId="1011" w:customStyle="1">
    <w:name w:val="文档结构图1"/>
    <w:basedOn w:val="915"/>
    <w:uiPriority w:val="99"/>
    <w:qFormat/>
    <w:pPr>
      <w:shd w:val="clear" w:color="auto" w:fill="000080"/>
    </w:pPr>
  </w:style>
  <w:style w:type="paragraph" w:styleId="1012" w:customStyle="1">
    <w:name w:val="纯文本7"/>
    <w:basedOn w:val="915"/>
    <w:qFormat/>
    <w:rPr>
      <w:rFonts w:ascii="宋体" w:hAnsi="Courier New" w:eastAsia="楷体_GB2312"/>
      <w:sz w:val="26"/>
      <w:szCs w:val="20"/>
    </w:rPr>
  </w:style>
  <w:style w:type="paragraph" w:styleId="1013" w:customStyle="1">
    <w:name w:val="表"/>
    <w:basedOn w:val="915"/>
    <w:qFormat/>
    <w:pPr>
      <w:jc w:val="center"/>
    </w:pPr>
    <w:rPr>
      <w:rFonts w:ascii="Calibri" w:hAnsi="Calibri"/>
      <w:sz w:val="22"/>
    </w:rPr>
  </w:style>
  <w:style w:type="paragraph" w:styleId="1014" w:customStyle="1">
    <w:name w:val="列表段落1"/>
    <w:basedOn w:val="915"/>
    <w:uiPriority w:val="34"/>
    <w:qFormat/>
    <w:pPr>
      <w:ind w:firstLine="420"/>
    </w:pPr>
    <w:rPr>
      <w:rFonts w:ascii="等线" w:hAnsi="等线" w:eastAsia="等线"/>
    </w:rPr>
  </w:style>
  <w:style w:type="paragraph" w:styleId="1015" w:customStyle="1">
    <w:name w:val="List Paragraph1"/>
    <w:basedOn w:val="915"/>
    <w:qFormat/>
    <w:pPr>
      <w:ind w:firstLine="420"/>
    </w:pPr>
  </w:style>
  <w:style w:type="paragraph" w:styleId="1016" w:customStyle="1">
    <w:name w:val="纯文本8"/>
    <w:basedOn w:val="915"/>
    <w:qFormat/>
    <w:rPr>
      <w:rFonts w:ascii="宋体" w:hAnsi="Courier New" w:eastAsia="楷体_GB2312"/>
      <w:sz w:val="26"/>
    </w:rPr>
  </w:style>
  <w:style w:type="paragraph" w:styleId="1017"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36</cp:revision>
  <dcterms:created xsi:type="dcterms:W3CDTF">2024-05-06T08:40:00Z</dcterms:created>
  <dcterms:modified xsi:type="dcterms:W3CDTF">2026-06-16T05:48:38Z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F9D4BF7E6E9248BC935DAE5F10AA6D0D_13</vt:lpwstr>
  </property>
  <property fmtid="{D5CDD505-2E9C-101B-9397-08002B2CF9AE}" pid="4" name="KSOTemplateDocerSaveRecord">
    <vt:lpwstr>eyJoZGlkIjoiZGRlNGE1OWE1NDIxZDAwMTQwZTBiZjRjOWQyYjZkMDIiLCJ1c2VySWQiOiIxMDQzMzQ5ODU4In0=</vt:lpwstr>
  </property>
</Properties>
</file>